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0B0" w:rsidRDefault="00F61478">
      <w:pPr>
        <w:jc w:val="left"/>
        <w:rPr>
          <w:rFonts w:ascii="仿宋_GB2312" w:eastAsia="仿宋_GB2312" w:hAnsi="华文中宋" w:cs="华文中宋"/>
          <w:bCs/>
          <w:sz w:val="32"/>
          <w:szCs w:val="32"/>
        </w:rPr>
      </w:pPr>
      <w:bookmarkStart w:id="0" w:name="_GoBack"/>
      <w:bookmarkEnd w:id="0"/>
      <w:r>
        <w:rPr>
          <w:rFonts w:ascii="仿宋_GB2312" w:eastAsia="仿宋_GB2312" w:hAnsi="华文中宋" w:cs="华文中宋" w:hint="eastAsia"/>
          <w:bCs/>
          <w:sz w:val="32"/>
          <w:szCs w:val="32"/>
        </w:rPr>
        <w:t>附件：</w:t>
      </w:r>
    </w:p>
    <w:p w:rsidR="00E060B0" w:rsidRDefault="00F61478">
      <w:pPr>
        <w:jc w:val="center"/>
        <w:rPr>
          <w:rFonts w:ascii="华文中宋" w:eastAsia="华文中宋" w:hAnsi="华文中宋" w:cs="华文中宋"/>
          <w:bCs/>
          <w:sz w:val="44"/>
          <w:szCs w:val="44"/>
        </w:rPr>
      </w:pPr>
      <w:r>
        <w:rPr>
          <w:rFonts w:ascii="华文中宋" w:eastAsia="华文中宋" w:hAnsi="华文中宋" w:cs="华文中宋" w:hint="eastAsia"/>
          <w:bCs/>
          <w:sz w:val="44"/>
          <w:szCs w:val="44"/>
        </w:rPr>
        <w:t>政府会计准则制度解释第3号</w:t>
      </w:r>
    </w:p>
    <w:p w:rsidR="00E060B0" w:rsidRDefault="00F61478">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（征求意见稿）</w:t>
      </w:r>
    </w:p>
    <w:p w:rsidR="00E060B0" w:rsidRDefault="00F61478">
      <w:pPr>
        <w:ind w:firstLineChars="200" w:firstLine="640"/>
        <w:rPr>
          <w:rFonts w:ascii="黑体" w:eastAsia="黑体" w:hAnsi="黑体" w:cs="仿宋_GB2312"/>
          <w:bCs/>
          <w:sz w:val="32"/>
          <w:szCs w:val="32"/>
        </w:rPr>
      </w:pPr>
      <w:r>
        <w:rPr>
          <w:rFonts w:ascii="黑体" w:eastAsia="黑体" w:hAnsi="黑体" w:cs="仿宋_GB2312" w:hint="eastAsia"/>
          <w:bCs/>
          <w:sz w:val="32"/>
          <w:szCs w:val="32"/>
        </w:rPr>
        <w:t>一、关于接受捐赠业务的会计处理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（一）行政事业单位（以下简称单位）按规定接受捐赠，应当区分以下情况进行会计处理：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1.单位取得捐赠的货币资金按规定应当上缴财政的，应当按照《政府会计制度——行政事业单位会计科目和报表》（以下简称《政府会计制度》）中“应缴财政款”科目相关规定处理。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2.单位接受捐赠人委托转赠的资产，应当按照《政府会计制度》中受托代理业务相关规定处理。</w:t>
      </w:r>
    </w:p>
    <w:p w:rsidR="00843BC9" w:rsidRDefault="00F61478" w:rsidP="00D8551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3.除上述两种情况外，单位接受捐赠取得的资产，应当按照《政府会计制度》中“捐赠收入</w:t>
      </w:r>
      <w:r w:rsidR="00EB2E05">
        <w:rPr>
          <w:rFonts w:ascii="仿宋_GB2312" w:eastAsia="仿宋_GB2312" w:hAnsi="仿宋_GB2312" w:cs="仿宋_GB2312" w:hint="eastAsia"/>
          <w:sz w:val="32"/>
          <w:szCs w:val="32"/>
        </w:rPr>
        <w:t>（其他预算收入）</w:t>
      </w:r>
      <w:r>
        <w:rPr>
          <w:rFonts w:ascii="仿宋_GB2312" w:eastAsia="仿宋_GB2312" w:hAnsi="仿宋_GB2312" w:cs="仿宋_GB2312" w:hint="eastAsia"/>
          <w:sz w:val="32"/>
          <w:szCs w:val="32"/>
        </w:rPr>
        <w:t>”科目相关规定处理。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（二）单位接受捐赠的存货、固定资产、无形资产</w:t>
      </w:r>
      <w:r w:rsidR="00B35DF1">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初始入账成本</w:t>
      </w:r>
      <w:r w:rsidR="00B35DF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应当分别根据《政府会计准则第1号——存货》第十一条、《政府会计准则第3号——固定资产》第十二条、《政府会计准则第4号——无形资产》第十三条的规定确定。</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上述准则条款中所称“凭据”，包括发票、报关单、有关协议等</w:t>
      </w:r>
      <w:r w:rsidR="003358B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如果凭据上注明的金额与受赠资产</w:t>
      </w:r>
      <w:r w:rsidR="00D503C8">
        <w:rPr>
          <w:rFonts w:ascii="仿宋_GB2312" w:eastAsia="仿宋_GB2312" w:hAnsi="仿宋_GB2312" w:cs="仿宋_GB2312" w:hint="eastAsia"/>
          <w:sz w:val="32"/>
          <w:szCs w:val="32"/>
        </w:rPr>
        <w:t>同类或类似资产的市场价格</w:t>
      </w:r>
      <w:r>
        <w:rPr>
          <w:rFonts w:ascii="仿宋_GB2312" w:eastAsia="仿宋_GB2312" w:hAnsi="仿宋_GB2312" w:cs="仿宋_GB2312" w:hint="eastAsia"/>
          <w:sz w:val="32"/>
          <w:szCs w:val="32"/>
        </w:rPr>
        <w:t>相差较大，则</w:t>
      </w:r>
      <w:r w:rsidR="003358BA">
        <w:rPr>
          <w:rFonts w:ascii="仿宋_GB2312" w:eastAsia="仿宋_GB2312" w:hAnsi="仿宋_GB2312" w:cs="仿宋_GB2312" w:hint="eastAsia"/>
          <w:sz w:val="32"/>
          <w:szCs w:val="32"/>
        </w:rPr>
        <w:t>应</w:t>
      </w:r>
      <w:r w:rsidR="00183B86">
        <w:rPr>
          <w:rFonts w:ascii="仿宋_GB2312" w:eastAsia="仿宋_GB2312" w:hAnsi="仿宋_GB2312" w:cs="仿宋_GB2312" w:hint="eastAsia"/>
          <w:sz w:val="32"/>
          <w:szCs w:val="32"/>
        </w:rPr>
        <w:t>当</w:t>
      </w:r>
      <w:r w:rsidR="003358BA">
        <w:rPr>
          <w:rFonts w:ascii="仿宋_GB2312" w:eastAsia="仿宋_GB2312" w:hAnsi="仿宋_GB2312" w:cs="仿宋_GB2312" w:hint="eastAsia"/>
          <w:sz w:val="32"/>
          <w:szCs w:val="32"/>
        </w:rPr>
        <w:t>以同类或类似资产的市场价格</w:t>
      </w:r>
      <w:r w:rsidR="003358BA">
        <w:rPr>
          <w:rFonts w:ascii="仿宋_GB2312" w:eastAsia="仿宋_GB2312" w:hAnsi="仿宋_GB2312" w:cs="仿宋_GB2312" w:hint="eastAsia"/>
          <w:sz w:val="32"/>
          <w:szCs w:val="32"/>
        </w:rPr>
        <w:lastRenderedPageBreak/>
        <w:t>确定成本</w:t>
      </w:r>
      <w:r>
        <w:rPr>
          <w:rFonts w:ascii="仿宋_GB2312" w:eastAsia="仿宋_GB2312" w:hAnsi="仿宋_GB2312" w:cs="仿宋_GB2312" w:hint="eastAsia"/>
          <w:sz w:val="32"/>
          <w:szCs w:val="32"/>
        </w:rPr>
        <w:t>。</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上述准则条款中所称“同类或类似资产的市场价格”，一般指</w:t>
      </w:r>
      <w:r>
        <w:rPr>
          <w:rFonts w:ascii="仿宋_GB2312" w:eastAsia="仿宋_GB2312" w:hAnsi="仿宋" w:hint="eastAsia"/>
          <w:sz w:val="32"/>
          <w:szCs w:val="32"/>
        </w:rPr>
        <w:t>取得资产当日捐赠方自产物资的出厂价、捐赠方所销售物资的销售价、政府指导价、知名大型电商平台同类或类似商品价格等。</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（三）单位作为主管部门或上级单位向其附属单位分配</w:t>
      </w:r>
      <w:r w:rsidR="00682091">
        <w:rPr>
          <w:rFonts w:ascii="仿宋_GB2312" w:eastAsia="仿宋_GB2312" w:hAnsi="仿宋_GB2312" w:cs="仿宋_GB2312" w:hint="eastAsia"/>
          <w:sz w:val="32"/>
          <w:szCs w:val="32"/>
        </w:rPr>
        <w:t>受</w:t>
      </w:r>
      <w:r>
        <w:rPr>
          <w:rFonts w:ascii="仿宋_GB2312" w:eastAsia="仿宋_GB2312" w:hAnsi="仿宋_GB2312" w:cs="仿宋_GB2312" w:hint="eastAsia"/>
          <w:sz w:val="32"/>
          <w:szCs w:val="32"/>
        </w:rPr>
        <w:t>赠资产，应当区分以下情况进行会计处理：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1.分配的捐赠资产为货币资金的，应当按照《政府会计制度》中“对附属单位补助费用（支出）”科目相关规定处理。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2.分配的捐赠资产为非现金资产的，应当按照《政府会计制度》中“无偿调拨净资产”科目相关规定处理。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（四）单位使用、处置捐赠资产，应当按照《政府会计制度》相关规定进行会计处理。处置捐赠资产取得的净收入，按规定上缴财政的，应当记入“应缴财政款”科目；按规定纳入本单位预算管理的，记入“其他</w:t>
      </w:r>
      <w:r w:rsidR="00E83B19">
        <w:rPr>
          <w:rFonts w:ascii="仿宋_GB2312" w:eastAsia="仿宋_GB2312" w:hAnsi="仿宋_GB2312" w:cs="仿宋_GB2312" w:hint="eastAsia"/>
          <w:sz w:val="32"/>
          <w:szCs w:val="32"/>
        </w:rPr>
        <w:t>（预算）</w:t>
      </w:r>
      <w:r>
        <w:rPr>
          <w:rFonts w:ascii="仿宋_GB2312" w:eastAsia="仿宋_GB2312" w:hAnsi="仿宋_GB2312" w:cs="仿宋_GB2312" w:hint="eastAsia"/>
          <w:sz w:val="32"/>
          <w:szCs w:val="32"/>
        </w:rPr>
        <w:t>收入”科目。</w:t>
      </w:r>
    </w:p>
    <w:p w:rsidR="00E060B0" w:rsidRDefault="00F61478">
      <w:pPr>
        <w:ind w:firstLineChars="200" w:firstLine="640"/>
        <w:rPr>
          <w:rFonts w:ascii="黑体" w:eastAsia="黑体" w:hAnsi="黑体" w:cs="仿宋_GB2312"/>
          <w:bCs/>
          <w:sz w:val="32"/>
          <w:szCs w:val="32"/>
        </w:rPr>
      </w:pPr>
      <w:r>
        <w:rPr>
          <w:rFonts w:ascii="黑体" w:eastAsia="黑体" w:hAnsi="黑体" w:cs="仿宋_GB2312" w:hint="eastAsia"/>
          <w:bCs/>
          <w:sz w:val="32"/>
          <w:szCs w:val="32"/>
        </w:rPr>
        <w:t>二、关于政府对外投资业务的会计处理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（一）《政府会计准则第2号——投资》（以下简称2号准则）所称“</w:t>
      </w:r>
      <w:r>
        <w:rPr>
          <w:rFonts w:ascii="仿宋_GB2312" w:eastAsia="仿宋_GB2312" w:hAnsi="仿宋_GB2312" w:cs="仿宋_GB2312"/>
          <w:sz w:val="32"/>
          <w:szCs w:val="32"/>
        </w:rPr>
        <w:t>股权投资</w:t>
      </w:r>
      <w:r>
        <w:rPr>
          <w:rFonts w:ascii="仿宋_GB2312" w:eastAsia="仿宋_GB2312" w:hAnsi="仿宋_GB2312" w:cs="仿宋_GB2312" w:hint="eastAsia"/>
          <w:sz w:val="32"/>
          <w:szCs w:val="32"/>
        </w:rPr>
        <w:t>”，是指政府会计主体持有的各类股权投资资产，</w:t>
      </w:r>
      <w:r>
        <w:rPr>
          <w:rFonts w:ascii="仿宋_GB2312" w:eastAsia="仿宋_GB2312" w:hAnsi="仿宋_GB2312" w:cs="仿宋_GB2312"/>
          <w:sz w:val="32"/>
          <w:szCs w:val="32"/>
        </w:rPr>
        <w:t>包括国际金融组织股权投资、投资基金股权投资、国有企业股权投资等。</w:t>
      </w:r>
      <w:r>
        <w:rPr>
          <w:rFonts w:ascii="仿宋_GB2312" w:eastAsia="仿宋_GB2312" w:hAnsi="仿宋_GB2312" w:cs="仿宋_GB2312" w:hint="eastAsia"/>
          <w:sz w:val="32"/>
          <w:szCs w:val="32"/>
        </w:rPr>
        <w:t>政府财政总预算会计应当按照《财政总预算会计制度》对本级政府持有的各类股权投资资产进行核算。</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（二）根据国务院和地方人民政府授权、代表本级人民政府对国家出资企业履行出资人职责的单位，对国家出资企业不存在股权投资关系，不适用2号准则规定，无需进行会计处理。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本解释施行前有关单位将国家出资企业计入本单位长期股权投资的，应当自本解释施行之日，将原“长期股权投资”科目余额中的相关账面余额转出，借记“累计盈余”科目，贷记“长期股权投资”科目</w:t>
      </w:r>
      <w:r w:rsidR="00A80CD2">
        <w:rPr>
          <w:rFonts w:ascii="仿宋_GB2312" w:eastAsia="仿宋_GB2312" w:hAnsi="仿宋_GB2312" w:cs="仿宋_GB2312" w:hint="eastAsia"/>
          <w:sz w:val="32"/>
          <w:szCs w:val="32"/>
        </w:rPr>
        <w:t>，并将相应的“权益法调整”科目余额（如有）转入“累计盈余”科目</w:t>
      </w:r>
      <w:r>
        <w:rPr>
          <w:rFonts w:ascii="仿宋_GB2312" w:eastAsia="仿宋_GB2312" w:hAnsi="仿宋_GB2312" w:cs="仿宋_GB2312" w:hint="eastAsia"/>
          <w:sz w:val="32"/>
          <w:szCs w:val="32"/>
        </w:rPr>
        <w:t>。</w:t>
      </w:r>
    </w:p>
    <w:p w:rsidR="00E060B0" w:rsidRDefault="00D51632">
      <w:pPr>
        <w:ind w:firstLineChars="200" w:firstLine="640"/>
        <w:rPr>
          <w:rFonts w:ascii="仿宋_GB2312" w:eastAsia="仿宋_GB2312" w:hAnsi="仿宋_GB2312" w:cs="仿宋_GB2312"/>
          <w:sz w:val="32"/>
          <w:szCs w:val="32"/>
        </w:rPr>
      </w:pPr>
      <w:r w:rsidRPr="00B75E8B">
        <w:rPr>
          <w:rFonts w:ascii="仿宋_GB2312" w:eastAsia="仿宋_GB2312" w:hAnsi="仿宋_GB2312" w:cs="仿宋_GB2312" w:hint="eastAsia"/>
          <w:sz w:val="32"/>
          <w:szCs w:val="32"/>
        </w:rPr>
        <w:t>（三）单位按规定出资成立非营利法人单位，</w:t>
      </w:r>
      <w:r w:rsidR="00F61478">
        <w:rPr>
          <w:rFonts w:ascii="仿宋_GB2312" w:eastAsia="仿宋_GB2312" w:hAnsi="仿宋_GB2312" w:cs="仿宋_GB2312" w:hint="eastAsia"/>
          <w:sz w:val="32"/>
          <w:szCs w:val="32"/>
        </w:rPr>
        <w:t>如事业单位、社会团体、基金会等，不适用2号准则规定，出资时应当按照出资金额，借记“其他费用”科目，贷记“银行存款”等科目；同时，在预算会计</w:t>
      </w:r>
      <w:r w:rsidR="00DC67D8">
        <w:rPr>
          <w:rFonts w:ascii="仿宋_GB2312" w:eastAsia="仿宋_GB2312" w:hAnsi="仿宋_GB2312" w:cs="仿宋_GB2312" w:hint="eastAsia"/>
          <w:sz w:val="32"/>
          <w:szCs w:val="32"/>
        </w:rPr>
        <w:t>中</w:t>
      </w:r>
      <w:r w:rsidR="00F61478">
        <w:rPr>
          <w:rFonts w:ascii="仿宋_GB2312" w:eastAsia="仿宋_GB2312" w:hAnsi="仿宋_GB2312" w:cs="仿宋_GB2312" w:hint="eastAsia"/>
          <w:sz w:val="32"/>
          <w:szCs w:val="32"/>
        </w:rPr>
        <w:t>借记“其他支出”科目，贷记“资金结存”科目。</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解释施行前单位出资成立非营利法人单位并将出资金额计入长期股权投资的，应当自本解释施行之日，将原“长期股权投资”科目余额中对非营利法人单位的出资金额转出，借记“累计盈余”科目（以前年度出资）或“其他费用”科目（本年度出资），贷记“长期股权投资”科目。</w:t>
      </w:r>
    </w:p>
    <w:p w:rsidR="00E060B0" w:rsidRDefault="00F61478">
      <w:pPr>
        <w:ind w:firstLineChars="200" w:firstLine="640"/>
        <w:rPr>
          <w:rFonts w:ascii="黑体" w:eastAsia="黑体" w:hAnsi="黑体" w:cs="仿宋_GB2312"/>
          <w:bCs/>
          <w:sz w:val="32"/>
          <w:szCs w:val="32"/>
        </w:rPr>
      </w:pPr>
      <w:r>
        <w:rPr>
          <w:rFonts w:ascii="黑体" w:eastAsia="黑体" w:hAnsi="黑体" w:cs="仿宋_GB2312" w:hint="eastAsia"/>
          <w:bCs/>
          <w:sz w:val="32"/>
          <w:szCs w:val="32"/>
        </w:rPr>
        <w:t>三、关于政府债券的会计处理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根据《政府会计准则第</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号——负债》（以下简称8号准则）第七条规定，政府发行的政府债券</w:t>
      </w:r>
      <w:r w:rsidR="00F6274A">
        <w:rPr>
          <w:rFonts w:ascii="仿宋_GB2312" w:eastAsia="仿宋_GB2312" w:hAnsi="仿宋_GB2312" w:cs="仿宋_GB2312" w:hint="eastAsia"/>
          <w:sz w:val="32"/>
          <w:szCs w:val="32"/>
        </w:rPr>
        <w:t>属于政府举借的债</w:t>
      </w:r>
      <w:r w:rsidR="00F6274A">
        <w:rPr>
          <w:rFonts w:ascii="仿宋_GB2312" w:eastAsia="仿宋_GB2312" w:hAnsi="仿宋_GB2312" w:cs="仿宋_GB2312" w:hint="eastAsia"/>
          <w:sz w:val="32"/>
          <w:szCs w:val="32"/>
        </w:rPr>
        <w:lastRenderedPageBreak/>
        <w:t>务</w:t>
      </w:r>
      <w:r>
        <w:rPr>
          <w:rFonts w:ascii="仿宋_GB2312" w:eastAsia="仿宋_GB2312" w:hAnsi="仿宋_GB2312" w:cs="仿宋_GB2312" w:hint="eastAsia"/>
          <w:sz w:val="32"/>
          <w:szCs w:val="32"/>
        </w:rPr>
        <w:t>。有关政府债券的会计处理规定如下：</w:t>
      </w:r>
    </w:p>
    <w:p w:rsidR="00E060B0" w:rsidRDefault="00F61478">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（一）财政总预算会计的处理。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政府财政总预算会计应当按照8号准则和《财政总预算会计制度》相关规定对政府债券进行会计处理。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（二）使用政府债券资金的单位的会计处理。</w:t>
      </w:r>
    </w:p>
    <w:p w:rsidR="00DE59CA" w:rsidRDefault="00F61478" w:rsidP="002E52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1.单位实际从同级财政取得政府债券资金的，应当借记“银行存款”、“零余额账户用款额度”等科目，贷记“财政拨款收入”科目；同时在预算会计中借记“资金结存”科目，贷记“财政拨款预算收入”科目。</w:t>
      </w:r>
    </w:p>
    <w:p w:rsidR="00E060B0" w:rsidRDefault="00DE59CA" w:rsidP="002E52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按照预算管理要求需对政府债券资金单独反映的，应当在“财政拨款（预算）收入”科目下设置明细科目</w:t>
      </w:r>
      <w:r w:rsidR="00CE251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如</w:t>
      </w:r>
      <w:r w:rsidR="00CE251C">
        <w:rPr>
          <w:rFonts w:ascii="仿宋_GB2312" w:eastAsia="仿宋_GB2312" w:hAnsi="仿宋_GB2312" w:cs="仿宋_GB2312" w:hint="eastAsia"/>
          <w:sz w:val="32"/>
          <w:szCs w:val="32"/>
        </w:rPr>
        <w:t>，</w:t>
      </w:r>
      <w:r w:rsidR="002E520C">
        <w:rPr>
          <w:rFonts w:ascii="仿宋_GB2312" w:eastAsia="仿宋_GB2312" w:hAnsi="仿宋_GB2312" w:cs="仿宋_GB2312" w:hint="eastAsia"/>
          <w:sz w:val="32"/>
          <w:szCs w:val="32"/>
        </w:rPr>
        <w:t>取得地方政府债券资金的，应</w:t>
      </w:r>
      <w:r w:rsidR="003775E6">
        <w:rPr>
          <w:rFonts w:ascii="仿宋_GB2312" w:eastAsia="仿宋_GB2312" w:hAnsi="仿宋_GB2312" w:cs="仿宋_GB2312" w:hint="eastAsia"/>
          <w:sz w:val="32"/>
          <w:szCs w:val="32"/>
        </w:rPr>
        <w:t>当根据地方政府债券类别</w:t>
      </w:r>
      <w:r w:rsidR="00CE251C">
        <w:rPr>
          <w:rFonts w:ascii="仿宋_GB2312" w:eastAsia="仿宋_GB2312" w:hAnsi="仿宋_GB2312" w:cs="仿宋_GB2312" w:hint="eastAsia"/>
          <w:sz w:val="32"/>
          <w:szCs w:val="32"/>
        </w:rPr>
        <w:t>设置</w:t>
      </w:r>
      <w:r w:rsidR="002E520C">
        <w:rPr>
          <w:rFonts w:ascii="仿宋_GB2312" w:eastAsia="仿宋_GB2312" w:hAnsi="仿宋_GB2312" w:cs="仿宋_GB2312" w:hint="eastAsia"/>
          <w:sz w:val="32"/>
          <w:szCs w:val="32"/>
        </w:rPr>
        <w:t>“地方政府一般债券资金收入”、“地方政府专项债券资金收入”</w:t>
      </w:r>
      <w:r w:rsidR="00CE251C">
        <w:rPr>
          <w:rFonts w:ascii="仿宋_GB2312" w:eastAsia="仿宋_GB2312" w:hAnsi="仿宋_GB2312" w:cs="仿宋_GB2312" w:hint="eastAsia"/>
          <w:sz w:val="32"/>
          <w:szCs w:val="32"/>
        </w:rPr>
        <w:t>等</w:t>
      </w:r>
      <w:r w:rsidR="002E520C">
        <w:rPr>
          <w:rFonts w:ascii="仿宋_GB2312" w:eastAsia="仿宋_GB2312" w:hAnsi="仿宋_GB2312" w:cs="仿宋_GB2312" w:hint="eastAsia"/>
          <w:sz w:val="32"/>
          <w:szCs w:val="32"/>
        </w:rPr>
        <w:t>明细</w:t>
      </w:r>
      <w:r w:rsidR="00CE251C">
        <w:rPr>
          <w:rFonts w:ascii="仿宋_GB2312" w:eastAsia="仿宋_GB2312" w:hAnsi="仿宋_GB2312" w:cs="仿宋_GB2312" w:hint="eastAsia"/>
          <w:sz w:val="32"/>
          <w:szCs w:val="32"/>
        </w:rPr>
        <w:t>科目</w:t>
      </w:r>
      <w:r w:rsidR="00A12939">
        <w:rPr>
          <w:rFonts w:ascii="仿宋_GB2312" w:eastAsia="仿宋_GB2312" w:hAnsi="仿宋_GB2312" w:cs="仿宋_GB2312" w:hint="eastAsia"/>
          <w:sz w:val="32"/>
          <w:szCs w:val="32"/>
        </w:rPr>
        <w:t>。</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2.同级财政以地方政府债券置换单位原有负债的，单位应当借记“长期借款”、“应付利息”等科目，贷记“累计盈余”科目。预算会计不做处理。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单位需要向同级财政上缴专项债券对应项目专项收入的，取得专项收入时，应当借记“银行存款”等科目，贷记“应缴财政款”科目；实际上缴时，借记“应缴财政款”科目，贷记“银行存款”等科目。预算会计不做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4.单位应当按照政府会计准则制度规定，对使用政府债</w:t>
      </w:r>
      <w:r>
        <w:rPr>
          <w:rFonts w:ascii="仿宋_GB2312" w:eastAsia="仿宋_GB2312" w:hAnsi="仿宋_GB2312" w:cs="仿宋_GB2312" w:hint="eastAsia"/>
          <w:sz w:val="32"/>
          <w:szCs w:val="32"/>
        </w:rPr>
        <w:lastRenderedPageBreak/>
        <w:t>券资金所形成的资产进行会计处理。单位应当对从同级财政部门取得的</w:t>
      </w:r>
      <w:r w:rsidR="00FE59EA">
        <w:rPr>
          <w:rFonts w:ascii="仿宋_GB2312" w:eastAsia="仿宋_GB2312" w:hAnsi="仿宋_GB2312" w:cs="仿宋_GB2312" w:hint="eastAsia"/>
          <w:sz w:val="32"/>
          <w:szCs w:val="32"/>
        </w:rPr>
        <w:t>地方政府</w:t>
      </w:r>
      <w:r>
        <w:rPr>
          <w:rFonts w:ascii="仿宋_GB2312" w:eastAsia="仿宋_GB2312" w:hAnsi="仿宋_GB2312" w:cs="仿宋_GB2312" w:hint="eastAsia"/>
          <w:sz w:val="32"/>
          <w:szCs w:val="32"/>
        </w:rPr>
        <w:t>债券资金，以及上缴的</w:t>
      </w:r>
      <w:r w:rsidR="00B051FF">
        <w:rPr>
          <w:rFonts w:ascii="仿宋_GB2312" w:eastAsia="仿宋_GB2312" w:hAnsi="仿宋_GB2312" w:cs="仿宋_GB2312" w:hint="eastAsia"/>
          <w:sz w:val="32"/>
          <w:szCs w:val="32"/>
        </w:rPr>
        <w:t>专项债券</w:t>
      </w:r>
      <w:r>
        <w:rPr>
          <w:rFonts w:ascii="仿宋_GB2312" w:eastAsia="仿宋_GB2312" w:hAnsi="仿宋_GB2312" w:cs="仿宋_GB2312" w:hint="eastAsia"/>
          <w:sz w:val="32"/>
          <w:szCs w:val="32"/>
        </w:rPr>
        <w:t>对应项目专项收入进行辅助核算或备查簿登记。</w:t>
      </w:r>
    </w:p>
    <w:p w:rsidR="00E060B0" w:rsidRDefault="00F61478">
      <w:pPr>
        <w:ind w:firstLineChars="200" w:firstLine="640"/>
        <w:rPr>
          <w:rFonts w:ascii="黑体" w:eastAsia="黑体" w:hAnsi="黑体" w:cs="仿宋_GB2312"/>
          <w:bCs/>
          <w:sz w:val="32"/>
          <w:szCs w:val="32"/>
        </w:rPr>
      </w:pPr>
      <w:r>
        <w:rPr>
          <w:rFonts w:ascii="黑体" w:eastAsia="黑体" w:hAnsi="黑体" w:cs="仿宋_GB2312" w:hint="eastAsia"/>
          <w:bCs/>
          <w:sz w:val="32"/>
          <w:szCs w:val="32"/>
        </w:rPr>
        <w:t>四、关于报告日后调整事项的会计处理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单位应当按规定的结账日进行结账，不得提前或者延迟。年度结账日为公历年度每年的12月31日,即《政府会计准则第7号——会计调整》（以下简称7号准则）所称的年度报告日。年度终了结账时，所有总账账户都应当结出全年发生额和年末余额，并将各账户的余额结转到下一会计年度。单位不得对已记账凭证进行删除、插入或修改。</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7号准则规定，报告日后调整事项是指自报告日至报告批准报出日之间发生的、单位获得新的或者进一步的证据有助于对报告日存在状况的有关金额作出重新估计的事项，包括已证实资产发生了减损、已确定获得或者支付的赔偿、财务舞弊或者差错等。对于报告日后调整事项，单位应当按照以下规定</w:t>
      </w:r>
      <w:r w:rsidR="00060ACA">
        <w:rPr>
          <w:rFonts w:ascii="仿宋_GB2312" w:eastAsia="仿宋_GB2312" w:hAnsi="仿宋_GB2312" w:cs="仿宋_GB2312" w:hint="eastAsia"/>
          <w:sz w:val="32"/>
          <w:szCs w:val="32"/>
        </w:rPr>
        <w:t>进行</w:t>
      </w:r>
      <w:r>
        <w:rPr>
          <w:rFonts w:ascii="仿宋_GB2312" w:eastAsia="仿宋_GB2312" w:hAnsi="仿宋_GB2312" w:cs="仿宋_GB2312" w:hint="eastAsia"/>
          <w:sz w:val="32"/>
          <w:szCs w:val="32"/>
        </w:rPr>
        <w:t>会计处理：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1.在发生调整事项的期间进行账务处理：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涉及盈余调整的事项，通过“以前年度盈余调整”科目核算。调整增加以前年度收入或调整减少以前年度费用的事项，记入“以前年度盈余调整”科目的贷方；反之，记入“以前年度盈余调整”科目的借方。</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（2）涉及预算收支调整的事项，通过“财政拨款结转”、</w:t>
      </w:r>
      <w:r>
        <w:rPr>
          <w:rFonts w:ascii="仿宋_GB2312" w:eastAsia="仿宋_GB2312" w:hAnsi="仿宋_GB2312" w:cs="仿宋_GB2312" w:hint="eastAsia"/>
          <w:sz w:val="32"/>
          <w:szCs w:val="32"/>
        </w:rPr>
        <w:lastRenderedPageBreak/>
        <w:t>“财政拨款结余”、“非财政拨款结转”、“非财政拨款结余”等科目下“年初余额调整”明细科目核算。调整增加以前年度预算收入或调整减少以前年度预算支出的事项，记入“年初余额调整”科目的贷方；反之，记入“年初余额调整”科目的借方。</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（3）不涉及盈余调整或预算收支调整的事项，调整相关科目。</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2.调整会计报表和附注相关项目的金额：</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（1）报告日编制的会计报表相关项目的期末数或</w:t>
      </w:r>
      <w:r w:rsidR="00F91BCA">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本年发生数。</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（2）当期编制的会计报表相关项目的期初数或</w:t>
      </w:r>
      <w:r w:rsidR="004F338F">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上年数。</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（3）经过上述调整后，如果涉及报表附注内容的，还应作出相应调整或说明。</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（二）单位在报告日至报告批准报出日之间发现7号准则第十七条所指的“财务舞弊或者差错”，属于报告期间的会计差错或报告期以前期间的非重大会计差错的，应当按照上述（一）中的规定进行会计处理。</w:t>
      </w:r>
    </w:p>
    <w:p w:rsidR="00E060B0"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单位在报告日至报告批准报出日之间发现7号准则第十七条所称“财务舞弊或者差错”，属于报告期以前期间的重大会计差错，应当视同报告期发现的与前期相关的重大会计差错，比照7号准则第十四条（二）的规定进行会计处理，具体要求如下：</w:t>
      </w:r>
    </w:p>
    <w:p w:rsidR="00684206" w:rsidRDefault="00F6147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sidR="00D06CD9">
        <w:rPr>
          <w:rFonts w:ascii="仿宋_GB2312" w:eastAsia="仿宋_GB2312" w:hAnsi="仿宋_GB2312" w:cs="仿宋_GB2312" w:hint="eastAsia"/>
          <w:sz w:val="32"/>
          <w:szCs w:val="32"/>
        </w:rPr>
        <w:t>按照上述（一）中的规定在发</w:t>
      </w:r>
      <w:r w:rsidR="0062099B">
        <w:rPr>
          <w:rFonts w:ascii="仿宋_GB2312" w:eastAsia="仿宋_GB2312" w:hAnsi="仿宋_GB2312" w:cs="仿宋_GB2312" w:hint="eastAsia"/>
          <w:sz w:val="32"/>
          <w:szCs w:val="32"/>
        </w:rPr>
        <w:t>现差错</w:t>
      </w:r>
      <w:r w:rsidR="00D06CD9">
        <w:rPr>
          <w:rFonts w:ascii="仿宋_GB2312" w:eastAsia="仿宋_GB2312" w:hAnsi="仿宋_GB2312" w:cs="仿宋_GB2312" w:hint="eastAsia"/>
          <w:sz w:val="32"/>
          <w:szCs w:val="32"/>
        </w:rPr>
        <w:t>的期间进行账务处理。</w:t>
      </w:r>
    </w:p>
    <w:p w:rsidR="00D06CD9" w:rsidRDefault="0068420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FA3455">
        <w:rPr>
          <w:rFonts w:ascii="仿宋_GB2312" w:eastAsia="仿宋_GB2312" w:hAnsi="仿宋_GB2312" w:cs="仿宋_GB2312" w:hint="eastAsia"/>
          <w:sz w:val="32"/>
          <w:szCs w:val="32"/>
        </w:rPr>
        <w:t>调整会计报表和附注相关项目的金额：</w:t>
      </w:r>
    </w:p>
    <w:p w:rsidR="00E060B0" w:rsidRDefault="00D06CD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F61478">
        <w:rPr>
          <w:rFonts w:ascii="仿宋_GB2312" w:eastAsia="仿宋_GB2312" w:hAnsi="仿宋_GB2312" w:cs="仿宋_GB2312" w:hint="eastAsia"/>
          <w:sz w:val="32"/>
          <w:szCs w:val="32"/>
        </w:rPr>
        <w:t>影响收入、费用或者预算收支的，应当将会计差错对收入、费用或者预算收支的影响或者累积影响调整报告期期初、期末会计报表相关净资产项目或者预算结转结余项目，并调整其他相关项目的期初、期末数</w:t>
      </w:r>
      <w:r w:rsidR="00CC2ACF">
        <w:rPr>
          <w:rFonts w:ascii="仿宋_GB2312" w:eastAsia="仿宋_GB2312" w:hAnsi="仿宋_GB2312" w:cs="仿宋_GB2312" w:hint="eastAsia"/>
          <w:sz w:val="32"/>
          <w:szCs w:val="32"/>
        </w:rPr>
        <w:t>或（</w:t>
      </w:r>
      <w:r w:rsidR="00F61478">
        <w:rPr>
          <w:rFonts w:ascii="仿宋_GB2312" w:eastAsia="仿宋_GB2312" w:hAnsi="仿宋_GB2312" w:cs="仿宋_GB2312" w:hint="eastAsia"/>
          <w:sz w:val="32"/>
          <w:szCs w:val="32"/>
        </w:rPr>
        <w:t>和</w:t>
      </w:r>
      <w:r w:rsidR="00CC2ACF">
        <w:rPr>
          <w:rFonts w:ascii="仿宋_GB2312" w:eastAsia="仿宋_GB2312" w:hAnsi="仿宋_GB2312" w:cs="仿宋_GB2312" w:hint="eastAsia"/>
          <w:sz w:val="32"/>
          <w:szCs w:val="32"/>
        </w:rPr>
        <w:t>）</w:t>
      </w:r>
      <w:r w:rsidR="00F61478">
        <w:rPr>
          <w:rFonts w:ascii="仿宋_GB2312" w:eastAsia="仿宋_GB2312" w:hAnsi="仿宋_GB2312" w:cs="仿宋_GB2312" w:hint="eastAsia"/>
          <w:sz w:val="32"/>
          <w:szCs w:val="32"/>
        </w:rPr>
        <w:t>本年发生数；不影响收入、费用或者预算收支的，应当调整报告期相关项目的期初、期末数。</w:t>
      </w:r>
    </w:p>
    <w:p w:rsidR="00E060B0" w:rsidRDefault="00D06CD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F61478">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sidR="00F61478">
        <w:rPr>
          <w:rFonts w:ascii="仿宋_GB2312" w:eastAsia="仿宋_GB2312" w:hAnsi="仿宋_GB2312" w:cs="仿宋_GB2312" w:hint="eastAsia"/>
          <w:sz w:val="32"/>
          <w:szCs w:val="32"/>
        </w:rPr>
        <w:t>调整发现</w:t>
      </w:r>
      <w:r w:rsidR="00D52153">
        <w:rPr>
          <w:rFonts w:ascii="仿宋_GB2312" w:eastAsia="仿宋_GB2312" w:hAnsi="仿宋_GB2312" w:cs="仿宋_GB2312" w:hint="eastAsia"/>
          <w:sz w:val="32"/>
          <w:szCs w:val="32"/>
        </w:rPr>
        <w:t>差错</w:t>
      </w:r>
      <w:r w:rsidR="00F61478">
        <w:rPr>
          <w:rFonts w:ascii="仿宋_GB2312" w:eastAsia="仿宋_GB2312" w:hAnsi="仿宋_GB2312" w:cs="仿宋_GB2312" w:hint="eastAsia"/>
          <w:sz w:val="32"/>
          <w:szCs w:val="32"/>
        </w:rPr>
        <w:t>当期编制的会计报表相关项目的期初数或</w:t>
      </w:r>
      <w:r w:rsidR="00D60FC1">
        <w:rPr>
          <w:rFonts w:ascii="仿宋_GB2312" w:eastAsia="仿宋_GB2312" w:hAnsi="仿宋_GB2312" w:cs="仿宋_GB2312" w:hint="eastAsia"/>
          <w:sz w:val="32"/>
          <w:szCs w:val="32"/>
        </w:rPr>
        <w:t>（和）</w:t>
      </w:r>
      <w:r w:rsidR="00F61478">
        <w:rPr>
          <w:rFonts w:ascii="仿宋_GB2312" w:eastAsia="仿宋_GB2312" w:hAnsi="仿宋_GB2312" w:cs="仿宋_GB2312" w:hint="eastAsia"/>
          <w:sz w:val="32"/>
          <w:szCs w:val="32"/>
        </w:rPr>
        <w:t>上年数。</w:t>
      </w:r>
    </w:p>
    <w:p w:rsidR="00E060B0" w:rsidRDefault="00D06CD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F61478">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sidR="00F61478">
        <w:rPr>
          <w:rFonts w:ascii="仿宋_GB2312" w:eastAsia="仿宋_GB2312" w:hAnsi="仿宋_GB2312" w:cs="仿宋_GB2312" w:hint="eastAsia"/>
          <w:sz w:val="32"/>
          <w:szCs w:val="32"/>
        </w:rPr>
        <w:t>经过上述调整后，如果涉及报表附注内容的，还应作出相应调整或说明。</w:t>
      </w:r>
    </w:p>
    <w:p w:rsidR="00E060B0" w:rsidRDefault="00F61478">
      <w:pPr>
        <w:ind w:firstLineChars="200" w:firstLine="640"/>
        <w:rPr>
          <w:rFonts w:ascii="黑体" w:eastAsia="黑体" w:hAnsi="黑体" w:cs="仿宋_GB2312"/>
          <w:bCs/>
          <w:sz w:val="32"/>
          <w:szCs w:val="32"/>
        </w:rPr>
      </w:pPr>
      <w:r>
        <w:rPr>
          <w:rFonts w:ascii="黑体" w:eastAsia="黑体" w:hAnsi="黑体" w:cs="仿宋_GB2312" w:hint="eastAsia"/>
          <w:bCs/>
          <w:sz w:val="32"/>
          <w:szCs w:val="32"/>
        </w:rPr>
        <w:t>五、关于生效日期</w:t>
      </w:r>
    </w:p>
    <w:p w:rsidR="00C7162C" w:rsidRDefault="00F61478">
      <w:pPr>
        <w:ind w:firstLineChars="200" w:firstLine="640"/>
        <w:rPr>
          <w:rFonts w:ascii="仿宋_GB2312" w:eastAsia="仿宋_GB2312" w:hAnsi="宋体"/>
          <w:sz w:val="32"/>
          <w:szCs w:val="32"/>
        </w:rPr>
      </w:pPr>
      <w:r>
        <w:rPr>
          <w:rFonts w:ascii="仿宋_GB2312" w:eastAsia="仿宋_GB2312" w:hAnsi="宋体" w:hint="eastAsia"/>
          <w:sz w:val="32"/>
          <w:szCs w:val="32"/>
        </w:rPr>
        <w:t>本解释自公布之日起施行。</w:t>
      </w:r>
    </w:p>
    <w:sectPr w:rsidR="00C7162C" w:rsidSect="00E060B0">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CE9" w:rsidRDefault="00EE4CE9" w:rsidP="00E060B0">
      <w:r>
        <w:separator/>
      </w:r>
    </w:p>
  </w:endnote>
  <w:endnote w:type="continuationSeparator" w:id="0">
    <w:p w:rsidR="00EE4CE9" w:rsidRDefault="00EE4CE9" w:rsidP="00E0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仿宋_GB2312">
    <w:altName w:val="Arial Unicode MS"/>
    <w:charset w:val="86"/>
    <w:family w:val="modern"/>
    <w:pitch w:val="fixed"/>
    <w:sig w:usb0="00000001" w:usb1="080E0000" w:usb2="00000010" w:usb3="00000000" w:csb0="00040000" w:csb1="00000000"/>
  </w:font>
  <w:font w:name="DejaVu Sans">
    <w:altName w:val="Arial Unicode MS"/>
    <w:charset w:val="00"/>
    <w:family w:val="roman"/>
    <w:pitch w:val="default"/>
    <w:sig w:usb0="00000000" w:usb1="D200FDFF" w:usb2="0A246029" w:usb3="0400200C" w:csb0="600001FF" w:csb1="DFFF0000"/>
  </w:font>
  <w:font w:name="Cambria">
    <w:panose1 w:val="02040503050406030204"/>
    <w:charset w:val="00"/>
    <w:family w:val="auto"/>
    <w:pitch w:val="variable"/>
    <w:sig w:usb0="E00002FF" w:usb1="400004FF" w:usb2="00000000" w:usb3="00000000" w:csb0="0000019F" w:csb1="00000000"/>
  </w:font>
  <w:font w:name="华文中宋">
    <w:panose1 w:val="02010600040101010101"/>
    <w:charset w:val="50"/>
    <w:family w:val="auto"/>
    <w:pitch w:val="variable"/>
    <w:sig w:usb0="00000287" w:usb1="080F0000" w:usb2="00000010" w:usb3="00000000" w:csb0="0004009F" w:csb1="00000000"/>
  </w:font>
  <w:font w:name="黑体">
    <w:panose1 w:val="02010609060101010101"/>
    <w:charset w:val="50"/>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B0" w:rsidRDefault="003A6E99">
    <w:pPr>
      <w:pStyle w:val="ab"/>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0B0" w:rsidRDefault="008B79BE">
                          <w:pPr>
                            <w:pStyle w:val="ab"/>
                          </w:pPr>
                          <w:r>
                            <w:fldChar w:fldCharType="begin"/>
                          </w:r>
                          <w:r w:rsidR="00F61478">
                            <w:instrText xml:space="preserve"> PAGE  \* MERGEFORMAT </w:instrText>
                          </w:r>
                          <w:r>
                            <w:fldChar w:fldCharType="separate"/>
                          </w:r>
                          <w:r w:rsidR="003A6E99">
                            <w:rPr>
                              <w:noProof/>
                            </w:rPr>
                            <w:t>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25"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GjGqsCAACoBQAADgAAAGRycy9lMm9Eb2MueG1srFTbbtswDH0fsH8Q9O76Uie1jThFmsTDgO4C&#10;tPsAxZJjYbZkSGrsbti/j5LjJG1fhm1+EGiROuIhj7i4HdoGHZjSXIoch1cBRkyUknKxz/G3x8JL&#10;MNKGCEoaKViOn5nGt8v37xZ9l7FI1rKhTCEAETrruxzXxnSZ7+uyZi3RV7JjApyVVC0x8Kv2PlWk&#10;B/S28aMgmPu9VLRTsmRaw+5mdOKlw68qVpovVaWZQU2OITfjVuXWnV395YJke0W6mpfHNMhfZNES&#10;LuDSE9SGGIKeFH8D1fJSSS0rc1XK1pdVxUvmOACbMHjF5qEmHXNcoDi6O5VJ/z/Y8vPhq0KcQu8w&#10;EqSFFj2ywaA7OaAwiGa2QH2nM4h76CDSDOCxwZas7u5l+V0jIdc1EXu2Ukr2NSMUEgztSf/i6Iij&#10;Lciu/yQp3ESejHRAQ6VaCwj1QIAOjXo+NcdmU8LmLIkjcJTgCa/Tm8D1zifZdLZT2nxgskXWyLGC&#10;1jtscrjXxuZCsinEXiVkwZvGtb8RLzYgcNyBm+Go9dkcXDd/pkG6TbZJ7MXRfOvFAaXeqljH3rwI&#10;b2ab6816vQl/2XvDOKs5pUzYayZlhfGfde6o8VETJ21p2XBq4WxKWu1360ahAwFlF+5zFQfPOcx/&#10;mYYrAnB5RSmM4uAuSr1intx4cRXPPChv4gVhepfOgziNN8VLSvdcsH+nhPocpzOQmKNzTvoVt8B9&#10;b7mRrOUGZkfD2xwnpyCSWQFuBXWtNYQ3o31RCpv+uRTQ7qnRTq5WoaNWzbAbAMVqeCfpMwhXSVAW&#10;iBAGHhi1VD8w6mF45FjAdMOo+ShA+nbOTIaajN1kEFHCwRwbjEZzbcZ59NQpvq8Bd3pcK3geBXfa&#10;PedwfFQwDhyF4+iy8+by30WdB+zyNwAAAP//AwBQSwMEFAAGAAgAAAAhAPYBmWDXAAAAAgEAAA8A&#10;AABkcnMvZG93bnJldi54bWxMj8FOwzAQRO9I/IO1SNyo0xyghDhVVamX3ihVJW7beBtH2OvIdtPk&#10;7zFc4LLSaEYzb+v15KwYKcTes4LlogBB3Hrdc6fg+LF7WoGICVmj9UwKZoqwbu7vaqy0v/E7jYfU&#10;iVzCsUIFJqWhkjK2hhzGhR+Is3fxwWHKMnRSB7zlcmdlWRTP0mHPecHgQFtD7dfh6hS8TCdPQ6Qt&#10;fV7GNph+Xtn9rNTjw7R5A5FoSn9h+MHP6NBkprO/so7CKsiPpN+bvdcSxFlBWRYgm1r+R2++AQAA&#10;//8DAFBLAQItABQABgAIAAAAIQDkmcPA+wAAAOEBAAATAAAAAAAAAAAAAAAAAAAAAABbQ29udGVu&#10;dF9UeXBlc10ueG1sUEsBAi0AFAAGAAgAAAAhACOyauHXAAAAlAEAAAsAAAAAAAAAAAAAAAAALAEA&#10;AF9yZWxzLy5yZWxzUEsBAi0AFAAGAAgAAAAhAC+RoxqrAgAAqAUAAA4AAAAAAAAAAAAAAAAALAIA&#10;AGRycy9lMm9Eb2MueG1sUEsBAi0AFAAGAAgAAAAhAPYBmWDXAAAAAgEAAA8AAAAAAAAAAAAAAAAA&#10;AwUAAGRycy9kb3ducmV2LnhtbFBLBQYAAAAABAAEAPMAAAAHBgAAAAA=&#10;" filled="f" stroked="f">
              <v:textbox style="mso-fit-shape-to-text:t" inset="0,0,0,0">
                <w:txbxContent>
                  <w:p w:rsidR="00E060B0" w:rsidRDefault="008B79BE">
                    <w:pPr>
                      <w:pStyle w:val="ab"/>
                    </w:pPr>
                    <w:r>
                      <w:fldChar w:fldCharType="begin"/>
                    </w:r>
                    <w:r w:rsidR="00F61478">
                      <w:instrText xml:space="preserve"> PAGE  \* MERGEFORMAT </w:instrText>
                    </w:r>
                    <w:r>
                      <w:fldChar w:fldCharType="separate"/>
                    </w:r>
                    <w:r w:rsidR="003A6E99">
                      <w:rPr>
                        <w:noProof/>
                      </w:rPr>
                      <w:t>7</w:t>
                    </w:r>
                    <w:r>
                      <w:fldChar w:fldCharType="end"/>
                    </w: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CE9" w:rsidRDefault="00EE4CE9" w:rsidP="00E060B0">
      <w:r>
        <w:separator/>
      </w:r>
    </w:p>
  </w:footnote>
  <w:footnote w:type="continuationSeparator" w:id="0">
    <w:p w:rsidR="00EE4CE9" w:rsidRDefault="00EE4CE9" w:rsidP="00E060B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reatwall">
    <w15:presenceInfo w15:providerId="None" w15:userId="greatw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oNotShadeFormData/>
  <w:noPunctuationKerning/>
  <w:characterSpacingControl w:val="compressPunctuation"/>
  <w:hdrShapeDefaults>
    <o:shapedefaults v:ext="edit" spidmax="41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21"/>
    <w:rsid w:val="8DD67D36"/>
    <w:rsid w:val="9DF18699"/>
    <w:rsid w:val="9FFED196"/>
    <w:rsid w:val="A7BA39BB"/>
    <w:rsid w:val="AAB70661"/>
    <w:rsid w:val="AFE25FC6"/>
    <w:rsid w:val="B2E73D38"/>
    <w:rsid w:val="B2F9B53B"/>
    <w:rsid w:val="B5FB17CF"/>
    <w:rsid w:val="B77FF80E"/>
    <w:rsid w:val="BBF77486"/>
    <w:rsid w:val="BC3F0D0E"/>
    <w:rsid w:val="BCFDAC31"/>
    <w:rsid w:val="BD77BB32"/>
    <w:rsid w:val="BDD7261C"/>
    <w:rsid w:val="BDFAD135"/>
    <w:rsid w:val="BFFFEE71"/>
    <w:rsid w:val="C6DFA1AF"/>
    <w:rsid w:val="CEFC90AA"/>
    <w:rsid w:val="CFFB068C"/>
    <w:rsid w:val="D1E95E86"/>
    <w:rsid w:val="D59B53AB"/>
    <w:rsid w:val="D7FD759E"/>
    <w:rsid w:val="DB49145B"/>
    <w:rsid w:val="DD1B5F09"/>
    <w:rsid w:val="DD7FC0A3"/>
    <w:rsid w:val="DDBF3589"/>
    <w:rsid w:val="DDCF0DC0"/>
    <w:rsid w:val="DEEC7479"/>
    <w:rsid w:val="DFBE2B67"/>
    <w:rsid w:val="DFECE533"/>
    <w:rsid w:val="E2FF8551"/>
    <w:rsid w:val="E6DF9D4D"/>
    <w:rsid w:val="E6F37DB7"/>
    <w:rsid w:val="E7BE0BAD"/>
    <w:rsid w:val="EE7FA063"/>
    <w:rsid w:val="EEBE66FA"/>
    <w:rsid w:val="EFDB9C15"/>
    <w:rsid w:val="EFFBAA84"/>
    <w:rsid w:val="EFFFBE56"/>
    <w:rsid w:val="F3EB1316"/>
    <w:rsid w:val="F5F51175"/>
    <w:rsid w:val="F76F60CC"/>
    <w:rsid w:val="F7F9FACE"/>
    <w:rsid w:val="F7FA2E6A"/>
    <w:rsid w:val="F7FBFC0B"/>
    <w:rsid w:val="FAEF3181"/>
    <w:rsid w:val="FB773EE3"/>
    <w:rsid w:val="FB7F8C3C"/>
    <w:rsid w:val="FBBF2616"/>
    <w:rsid w:val="FBD9CB62"/>
    <w:rsid w:val="FBEF992C"/>
    <w:rsid w:val="FBFB3DC6"/>
    <w:rsid w:val="FCF76248"/>
    <w:rsid w:val="FD6B0CF1"/>
    <w:rsid w:val="FDC705D1"/>
    <w:rsid w:val="FDF092DA"/>
    <w:rsid w:val="FECF94AD"/>
    <w:rsid w:val="FF7BD68C"/>
    <w:rsid w:val="FF9954FD"/>
    <w:rsid w:val="FF9E4EB6"/>
    <w:rsid w:val="FF9FB07F"/>
    <w:rsid w:val="FFB73E12"/>
    <w:rsid w:val="FFBFA87F"/>
    <w:rsid w:val="FFBFF0EB"/>
    <w:rsid w:val="FFF6040C"/>
    <w:rsid w:val="FFFB5ABE"/>
    <w:rsid w:val="FFFC883E"/>
    <w:rsid w:val="FFFF6974"/>
    <w:rsid w:val="00000837"/>
    <w:rsid w:val="00004336"/>
    <w:rsid w:val="0000597E"/>
    <w:rsid w:val="00012F78"/>
    <w:rsid w:val="0001689B"/>
    <w:rsid w:val="00017385"/>
    <w:rsid w:val="000200B7"/>
    <w:rsid w:val="00022072"/>
    <w:rsid w:val="00023820"/>
    <w:rsid w:val="00024C5D"/>
    <w:rsid w:val="00025B18"/>
    <w:rsid w:val="00027334"/>
    <w:rsid w:val="00033F74"/>
    <w:rsid w:val="00034E1B"/>
    <w:rsid w:val="00035BD1"/>
    <w:rsid w:val="000461AF"/>
    <w:rsid w:val="00047A4B"/>
    <w:rsid w:val="000566F1"/>
    <w:rsid w:val="0005766B"/>
    <w:rsid w:val="00060ACA"/>
    <w:rsid w:val="000635D7"/>
    <w:rsid w:val="00065D49"/>
    <w:rsid w:val="00066786"/>
    <w:rsid w:val="0007057B"/>
    <w:rsid w:val="00071784"/>
    <w:rsid w:val="00072455"/>
    <w:rsid w:val="00081730"/>
    <w:rsid w:val="00081755"/>
    <w:rsid w:val="00082D07"/>
    <w:rsid w:val="00084016"/>
    <w:rsid w:val="00084F85"/>
    <w:rsid w:val="00085D6D"/>
    <w:rsid w:val="00096F41"/>
    <w:rsid w:val="000973A3"/>
    <w:rsid w:val="000A10F8"/>
    <w:rsid w:val="000A11C4"/>
    <w:rsid w:val="000A14F7"/>
    <w:rsid w:val="000A3C89"/>
    <w:rsid w:val="000A6474"/>
    <w:rsid w:val="000A756D"/>
    <w:rsid w:val="000B07A7"/>
    <w:rsid w:val="000B2933"/>
    <w:rsid w:val="000C3C00"/>
    <w:rsid w:val="000C4CF3"/>
    <w:rsid w:val="000C7C3E"/>
    <w:rsid w:val="000D25F5"/>
    <w:rsid w:val="000D2F40"/>
    <w:rsid w:val="000D326D"/>
    <w:rsid w:val="000D62A6"/>
    <w:rsid w:val="000E0C01"/>
    <w:rsid w:val="000E36C1"/>
    <w:rsid w:val="000E3BF0"/>
    <w:rsid w:val="000E4368"/>
    <w:rsid w:val="000E4CD6"/>
    <w:rsid w:val="000F55E5"/>
    <w:rsid w:val="000F5FA8"/>
    <w:rsid w:val="001006D5"/>
    <w:rsid w:val="00100766"/>
    <w:rsid w:val="00102517"/>
    <w:rsid w:val="001038C7"/>
    <w:rsid w:val="00105A1E"/>
    <w:rsid w:val="00105B75"/>
    <w:rsid w:val="00106768"/>
    <w:rsid w:val="0010772B"/>
    <w:rsid w:val="00107968"/>
    <w:rsid w:val="00110270"/>
    <w:rsid w:val="0011186B"/>
    <w:rsid w:val="001129FC"/>
    <w:rsid w:val="001131F0"/>
    <w:rsid w:val="00113EE7"/>
    <w:rsid w:val="00114CD6"/>
    <w:rsid w:val="0011782C"/>
    <w:rsid w:val="00117A7A"/>
    <w:rsid w:val="0012085F"/>
    <w:rsid w:val="0012284F"/>
    <w:rsid w:val="001236C4"/>
    <w:rsid w:val="00130176"/>
    <w:rsid w:val="00132EF7"/>
    <w:rsid w:val="001330F8"/>
    <w:rsid w:val="00142ABB"/>
    <w:rsid w:val="00143274"/>
    <w:rsid w:val="001432A2"/>
    <w:rsid w:val="001436E8"/>
    <w:rsid w:val="0014430E"/>
    <w:rsid w:val="0014631D"/>
    <w:rsid w:val="00150182"/>
    <w:rsid w:val="00153AAA"/>
    <w:rsid w:val="001546A7"/>
    <w:rsid w:val="00156D9E"/>
    <w:rsid w:val="00157300"/>
    <w:rsid w:val="00165D9C"/>
    <w:rsid w:val="001709EF"/>
    <w:rsid w:val="00173F04"/>
    <w:rsid w:val="0017572C"/>
    <w:rsid w:val="00176DED"/>
    <w:rsid w:val="00182694"/>
    <w:rsid w:val="00183B86"/>
    <w:rsid w:val="00190E7F"/>
    <w:rsid w:val="0019152A"/>
    <w:rsid w:val="0019216B"/>
    <w:rsid w:val="0019252D"/>
    <w:rsid w:val="0019453F"/>
    <w:rsid w:val="001A15B9"/>
    <w:rsid w:val="001A2A6F"/>
    <w:rsid w:val="001A43A2"/>
    <w:rsid w:val="001A72C3"/>
    <w:rsid w:val="001A7A14"/>
    <w:rsid w:val="001B07B3"/>
    <w:rsid w:val="001B277C"/>
    <w:rsid w:val="001C161C"/>
    <w:rsid w:val="001C392E"/>
    <w:rsid w:val="001C5353"/>
    <w:rsid w:val="001C5E2F"/>
    <w:rsid w:val="001C6D03"/>
    <w:rsid w:val="001C71FF"/>
    <w:rsid w:val="001D2C30"/>
    <w:rsid w:val="001D4F9C"/>
    <w:rsid w:val="001D55E1"/>
    <w:rsid w:val="001D7BD5"/>
    <w:rsid w:val="001E00FB"/>
    <w:rsid w:val="001E12C1"/>
    <w:rsid w:val="001E2BC1"/>
    <w:rsid w:val="001E362C"/>
    <w:rsid w:val="001E5E44"/>
    <w:rsid w:val="001E7A9D"/>
    <w:rsid w:val="001F35A8"/>
    <w:rsid w:val="001F48AB"/>
    <w:rsid w:val="001F4F37"/>
    <w:rsid w:val="001F60D6"/>
    <w:rsid w:val="001F6C28"/>
    <w:rsid w:val="001F75AA"/>
    <w:rsid w:val="00200504"/>
    <w:rsid w:val="0020189C"/>
    <w:rsid w:val="002054BD"/>
    <w:rsid w:val="002056C6"/>
    <w:rsid w:val="00206241"/>
    <w:rsid w:val="00210132"/>
    <w:rsid w:val="00210883"/>
    <w:rsid w:val="002109F0"/>
    <w:rsid w:val="00212F1B"/>
    <w:rsid w:val="0021572B"/>
    <w:rsid w:val="00216FBD"/>
    <w:rsid w:val="0021756E"/>
    <w:rsid w:val="00220511"/>
    <w:rsid w:val="00232DE9"/>
    <w:rsid w:val="0023545F"/>
    <w:rsid w:val="0023551E"/>
    <w:rsid w:val="0023596C"/>
    <w:rsid w:val="00236BA9"/>
    <w:rsid w:val="00242780"/>
    <w:rsid w:val="002429EF"/>
    <w:rsid w:val="00242C94"/>
    <w:rsid w:val="00243E0E"/>
    <w:rsid w:val="00243F0B"/>
    <w:rsid w:val="0024642E"/>
    <w:rsid w:val="0025285A"/>
    <w:rsid w:val="002540D0"/>
    <w:rsid w:val="00254CC0"/>
    <w:rsid w:val="002561F6"/>
    <w:rsid w:val="00256672"/>
    <w:rsid w:val="00257B24"/>
    <w:rsid w:val="0026009A"/>
    <w:rsid w:val="002625D3"/>
    <w:rsid w:val="0026264B"/>
    <w:rsid w:val="0026588A"/>
    <w:rsid w:val="00266314"/>
    <w:rsid w:val="00270BFE"/>
    <w:rsid w:val="00270F9F"/>
    <w:rsid w:val="0027158A"/>
    <w:rsid w:val="002715B1"/>
    <w:rsid w:val="002723C9"/>
    <w:rsid w:val="002733E3"/>
    <w:rsid w:val="00273D13"/>
    <w:rsid w:val="00275F6B"/>
    <w:rsid w:val="002804B2"/>
    <w:rsid w:val="0028124D"/>
    <w:rsid w:val="00291089"/>
    <w:rsid w:val="00293936"/>
    <w:rsid w:val="002942A5"/>
    <w:rsid w:val="002A26A3"/>
    <w:rsid w:val="002A2C24"/>
    <w:rsid w:val="002A593A"/>
    <w:rsid w:val="002A722D"/>
    <w:rsid w:val="002B0478"/>
    <w:rsid w:val="002B4D38"/>
    <w:rsid w:val="002B5ACF"/>
    <w:rsid w:val="002B7646"/>
    <w:rsid w:val="002C1632"/>
    <w:rsid w:val="002C55AF"/>
    <w:rsid w:val="002C6188"/>
    <w:rsid w:val="002C6C0C"/>
    <w:rsid w:val="002C7B91"/>
    <w:rsid w:val="002D1141"/>
    <w:rsid w:val="002D4BCE"/>
    <w:rsid w:val="002E3D13"/>
    <w:rsid w:val="002E4F98"/>
    <w:rsid w:val="002E520C"/>
    <w:rsid w:val="002E69CC"/>
    <w:rsid w:val="002F0F52"/>
    <w:rsid w:val="002F22E9"/>
    <w:rsid w:val="002F2CB6"/>
    <w:rsid w:val="002F3B9B"/>
    <w:rsid w:val="002F6378"/>
    <w:rsid w:val="003003B0"/>
    <w:rsid w:val="00302039"/>
    <w:rsid w:val="003034B6"/>
    <w:rsid w:val="0030467D"/>
    <w:rsid w:val="0030559F"/>
    <w:rsid w:val="00305BCB"/>
    <w:rsid w:val="003068AC"/>
    <w:rsid w:val="0031313A"/>
    <w:rsid w:val="00315E1F"/>
    <w:rsid w:val="003163E6"/>
    <w:rsid w:val="00316F62"/>
    <w:rsid w:val="003173EB"/>
    <w:rsid w:val="00317D07"/>
    <w:rsid w:val="00317D77"/>
    <w:rsid w:val="00320403"/>
    <w:rsid w:val="00323145"/>
    <w:rsid w:val="0032374C"/>
    <w:rsid w:val="0032460B"/>
    <w:rsid w:val="00326378"/>
    <w:rsid w:val="00330B7F"/>
    <w:rsid w:val="00330C98"/>
    <w:rsid w:val="00330F8C"/>
    <w:rsid w:val="00332584"/>
    <w:rsid w:val="003328B8"/>
    <w:rsid w:val="003358BA"/>
    <w:rsid w:val="00335E3F"/>
    <w:rsid w:val="00336298"/>
    <w:rsid w:val="00336780"/>
    <w:rsid w:val="00341812"/>
    <w:rsid w:val="00345188"/>
    <w:rsid w:val="00347288"/>
    <w:rsid w:val="00350443"/>
    <w:rsid w:val="00354972"/>
    <w:rsid w:val="00354CF7"/>
    <w:rsid w:val="00354DAE"/>
    <w:rsid w:val="0035574D"/>
    <w:rsid w:val="00355E3C"/>
    <w:rsid w:val="00357010"/>
    <w:rsid w:val="003577DF"/>
    <w:rsid w:val="003602BD"/>
    <w:rsid w:val="00360468"/>
    <w:rsid w:val="00360C7F"/>
    <w:rsid w:val="003611F1"/>
    <w:rsid w:val="00361AE4"/>
    <w:rsid w:val="00364C4A"/>
    <w:rsid w:val="00364D8D"/>
    <w:rsid w:val="00366A80"/>
    <w:rsid w:val="00367712"/>
    <w:rsid w:val="00367BE5"/>
    <w:rsid w:val="0037197F"/>
    <w:rsid w:val="00371BA7"/>
    <w:rsid w:val="00371FE7"/>
    <w:rsid w:val="00372078"/>
    <w:rsid w:val="00376498"/>
    <w:rsid w:val="003775E6"/>
    <w:rsid w:val="003777A9"/>
    <w:rsid w:val="003809EA"/>
    <w:rsid w:val="00381B67"/>
    <w:rsid w:val="00385189"/>
    <w:rsid w:val="0038543A"/>
    <w:rsid w:val="00385654"/>
    <w:rsid w:val="00392B40"/>
    <w:rsid w:val="00393F18"/>
    <w:rsid w:val="003940EE"/>
    <w:rsid w:val="0039482C"/>
    <w:rsid w:val="00394E0C"/>
    <w:rsid w:val="00394EE8"/>
    <w:rsid w:val="003A00A7"/>
    <w:rsid w:val="003A042E"/>
    <w:rsid w:val="003A36B8"/>
    <w:rsid w:val="003A47AA"/>
    <w:rsid w:val="003A4816"/>
    <w:rsid w:val="003A4D3E"/>
    <w:rsid w:val="003A6370"/>
    <w:rsid w:val="003A6E99"/>
    <w:rsid w:val="003A704B"/>
    <w:rsid w:val="003B17B5"/>
    <w:rsid w:val="003B2442"/>
    <w:rsid w:val="003B721D"/>
    <w:rsid w:val="003C027B"/>
    <w:rsid w:val="003C1EE7"/>
    <w:rsid w:val="003C2383"/>
    <w:rsid w:val="003C2B9E"/>
    <w:rsid w:val="003C4525"/>
    <w:rsid w:val="003C583F"/>
    <w:rsid w:val="003C76E8"/>
    <w:rsid w:val="003D0116"/>
    <w:rsid w:val="003D0E8D"/>
    <w:rsid w:val="003D317A"/>
    <w:rsid w:val="003D32DB"/>
    <w:rsid w:val="003D5538"/>
    <w:rsid w:val="003D7755"/>
    <w:rsid w:val="003E12E1"/>
    <w:rsid w:val="003F0C81"/>
    <w:rsid w:val="003F30A8"/>
    <w:rsid w:val="003F42E9"/>
    <w:rsid w:val="003F7358"/>
    <w:rsid w:val="003F7F2F"/>
    <w:rsid w:val="00402C56"/>
    <w:rsid w:val="00404204"/>
    <w:rsid w:val="004042C3"/>
    <w:rsid w:val="0040522D"/>
    <w:rsid w:val="00414FBA"/>
    <w:rsid w:val="00415883"/>
    <w:rsid w:val="00416670"/>
    <w:rsid w:val="004223D0"/>
    <w:rsid w:val="0042258E"/>
    <w:rsid w:val="00422B2D"/>
    <w:rsid w:val="00423325"/>
    <w:rsid w:val="00426F8E"/>
    <w:rsid w:val="004311BF"/>
    <w:rsid w:val="00433760"/>
    <w:rsid w:val="00434B2D"/>
    <w:rsid w:val="004376D8"/>
    <w:rsid w:val="00440BE4"/>
    <w:rsid w:val="00440F10"/>
    <w:rsid w:val="00441F2D"/>
    <w:rsid w:val="00442CBE"/>
    <w:rsid w:val="00444195"/>
    <w:rsid w:val="004442CF"/>
    <w:rsid w:val="00444B23"/>
    <w:rsid w:val="00445315"/>
    <w:rsid w:val="00445CED"/>
    <w:rsid w:val="00451C2A"/>
    <w:rsid w:val="004566C3"/>
    <w:rsid w:val="00457101"/>
    <w:rsid w:val="004608B0"/>
    <w:rsid w:val="0046274E"/>
    <w:rsid w:val="00462B56"/>
    <w:rsid w:val="00462CC5"/>
    <w:rsid w:val="0046335B"/>
    <w:rsid w:val="0046446F"/>
    <w:rsid w:val="004650CB"/>
    <w:rsid w:val="0046674D"/>
    <w:rsid w:val="00467301"/>
    <w:rsid w:val="0046771F"/>
    <w:rsid w:val="00467AB9"/>
    <w:rsid w:val="00467E29"/>
    <w:rsid w:val="004724CF"/>
    <w:rsid w:val="004734DE"/>
    <w:rsid w:val="00473F0C"/>
    <w:rsid w:val="004777FF"/>
    <w:rsid w:val="00480DA6"/>
    <w:rsid w:val="00481DF5"/>
    <w:rsid w:val="00481F9A"/>
    <w:rsid w:val="00490634"/>
    <w:rsid w:val="0049112F"/>
    <w:rsid w:val="00491494"/>
    <w:rsid w:val="0049188E"/>
    <w:rsid w:val="004A3510"/>
    <w:rsid w:val="004A3600"/>
    <w:rsid w:val="004A3EB7"/>
    <w:rsid w:val="004A5F7F"/>
    <w:rsid w:val="004B322A"/>
    <w:rsid w:val="004B3B58"/>
    <w:rsid w:val="004B69F9"/>
    <w:rsid w:val="004B73F3"/>
    <w:rsid w:val="004B7E28"/>
    <w:rsid w:val="004C0B6D"/>
    <w:rsid w:val="004C1951"/>
    <w:rsid w:val="004C2204"/>
    <w:rsid w:val="004C25E6"/>
    <w:rsid w:val="004C2869"/>
    <w:rsid w:val="004C4528"/>
    <w:rsid w:val="004C49CB"/>
    <w:rsid w:val="004C5B39"/>
    <w:rsid w:val="004C5CA0"/>
    <w:rsid w:val="004D0937"/>
    <w:rsid w:val="004D1229"/>
    <w:rsid w:val="004D22A4"/>
    <w:rsid w:val="004D5456"/>
    <w:rsid w:val="004E261D"/>
    <w:rsid w:val="004E2831"/>
    <w:rsid w:val="004E6027"/>
    <w:rsid w:val="004E7392"/>
    <w:rsid w:val="004F09FB"/>
    <w:rsid w:val="004F1404"/>
    <w:rsid w:val="004F2647"/>
    <w:rsid w:val="004F338F"/>
    <w:rsid w:val="004F4574"/>
    <w:rsid w:val="004F5593"/>
    <w:rsid w:val="00501E15"/>
    <w:rsid w:val="00502518"/>
    <w:rsid w:val="00502E7F"/>
    <w:rsid w:val="0050724D"/>
    <w:rsid w:val="00511A6E"/>
    <w:rsid w:val="00514484"/>
    <w:rsid w:val="005213EC"/>
    <w:rsid w:val="00522FD4"/>
    <w:rsid w:val="00525040"/>
    <w:rsid w:val="00525060"/>
    <w:rsid w:val="00525B25"/>
    <w:rsid w:val="00525F3E"/>
    <w:rsid w:val="005273D2"/>
    <w:rsid w:val="00532940"/>
    <w:rsid w:val="00532A02"/>
    <w:rsid w:val="00532C34"/>
    <w:rsid w:val="00534A84"/>
    <w:rsid w:val="00535E89"/>
    <w:rsid w:val="005370D7"/>
    <w:rsid w:val="00541115"/>
    <w:rsid w:val="00541414"/>
    <w:rsid w:val="0054193E"/>
    <w:rsid w:val="00542DA3"/>
    <w:rsid w:val="005434A9"/>
    <w:rsid w:val="00543B4C"/>
    <w:rsid w:val="00544435"/>
    <w:rsid w:val="0055585E"/>
    <w:rsid w:val="005574CA"/>
    <w:rsid w:val="005610E1"/>
    <w:rsid w:val="00563F73"/>
    <w:rsid w:val="00565DCD"/>
    <w:rsid w:val="005749D2"/>
    <w:rsid w:val="00574FB8"/>
    <w:rsid w:val="00575413"/>
    <w:rsid w:val="00575615"/>
    <w:rsid w:val="0057779D"/>
    <w:rsid w:val="005815BD"/>
    <w:rsid w:val="00582631"/>
    <w:rsid w:val="00583F2B"/>
    <w:rsid w:val="005865A8"/>
    <w:rsid w:val="00587335"/>
    <w:rsid w:val="005937F7"/>
    <w:rsid w:val="00597A02"/>
    <w:rsid w:val="00597A8B"/>
    <w:rsid w:val="005A027A"/>
    <w:rsid w:val="005A168A"/>
    <w:rsid w:val="005A1A96"/>
    <w:rsid w:val="005A2F3D"/>
    <w:rsid w:val="005A651C"/>
    <w:rsid w:val="005A6BA7"/>
    <w:rsid w:val="005B05CE"/>
    <w:rsid w:val="005B0987"/>
    <w:rsid w:val="005B2049"/>
    <w:rsid w:val="005B3C9E"/>
    <w:rsid w:val="005B41C0"/>
    <w:rsid w:val="005B425B"/>
    <w:rsid w:val="005B45C7"/>
    <w:rsid w:val="005B680B"/>
    <w:rsid w:val="005B6F67"/>
    <w:rsid w:val="005B7D40"/>
    <w:rsid w:val="005D3305"/>
    <w:rsid w:val="005D3451"/>
    <w:rsid w:val="005D61EC"/>
    <w:rsid w:val="005E08F6"/>
    <w:rsid w:val="005E10E7"/>
    <w:rsid w:val="005E1BDF"/>
    <w:rsid w:val="005E249F"/>
    <w:rsid w:val="005E4553"/>
    <w:rsid w:val="005E5D68"/>
    <w:rsid w:val="005F1157"/>
    <w:rsid w:val="005F2441"/>
    <w:rsid w:val="005F43E4"/>
    <w:rsid w:val="005F4E23"/>
    <w:rsid w:val="005F510B"/>
    <w:rsid w:val="005F512A"/>
    <w:rsid w:val="005F6916"/>
    <w:rsid w:val="005F7C07"/>
    <w:rsid w:val="00604BFF"/>
    <w:rsid w:val="006075A7"/>
    <w:rsid w:val="00607DED"/>
    <w:rsid w:val="006108E1"/>
    <w:rsid w:val="00610D9C"/>
    <w:rsid w:val="00613099"/>
    <w:rsid w:val="00616298"/>
    <w:rsid w:val="0062099B"/>
    <w:rsid w:val="006211FC"/>
    <w:rsid w:val="00621B93"/>
    <w:rsid w:val="006254C5"/>
    <w:rsid w:val="00627100"/>
    <w:rsid w:val="006347F5"/>
    <w:rsid w:val="00634DB9"/>
    <w:rsid w:val="00640D26"/>
    <w:rsid w:val="006463D8"/>
    <w:rsid w:val="00652A2B"/>
    <w:rsid w:val="0065431A"/>
    <w:rsid w:val="00656FAE"/>
    <w:rsid w:val="0066339E"/>
    <w:rsid w:val="006646B2"/>
    <w:rsid w:val="00665219"/>
    <w:rsid w:val="006652B4"/>
    <w:rsid w:val="00667D4C"/>
    <w:rsid w:val="00670F07"/>
    <w:rsid w:val="00671894"/>
    <w:rsid w:val="00671F78"/>
    <w:rsid w:val="00675088"/>
    <w:rsid w:val="006753F4"/>
    <w:rsid w:val="00675690"/>
    <w:rsid w:val="00676935"/>
    <w:rsid w:val="006804AC"/>
    <w:rsid w:val="00682091"/>
    <w:rsid w:val="00684206"/>
    <w:rsid w:val="006846F8"/>
    <w:rsid w:val="00684858"/>
    <w:rsid w:val="006851FD"/>
    <w:rsid w:val="006875ED"/>
    <w:rsid w:val="00690ADC"/>
    <w:rsid w:val="006935D7"/>
    <w:rsid w:val="00693690"/>
    <w:rsid w:val="00693F65"/>
    <w:rsid w:val="00695468"/>
    <w:rsid w:val="00696586"/>
    <w:rsid w:val="00697602"/>
    <w:rsid w:val="006A06C0"/>
    <w:rsid w:val="006A15B2"/>
    <w:rsid w:val="006A3B33"/>
    <w:rsid w:val="006A5D09"/>
    <w:rsid w:val="006A7F2E"/>
    <w:rsid w:val="006B03B4"/>
    <w:rsid w:val="006B535B"/>
    <w:rsid w:val="006B5EEF"/>
    <w:rsid w:val="006B61C4"/>
    <w:rsid w:val="006B62F8"/>
    <w:rsid w:val="006B6397"/>
    <w:rsid w:val="006B6647"/>
    <w:rsid w:val="006B6686"/>
    <w:rsid w:val="006C015B"/>
    <w:rsid w:val="006C2557"/>
    <w:rsid w:val="006C30F0"/>
    <w:rsid w:val="006C3D70"/>
    <w:rsid w:val="006C4E5D"/>
    <w:rsid w:val="006C6B25"/>
    <w:rsid w:val="006C6F81"/>
    <w:rsid w:val="006C70E1"/>
    <w:rsid w:val="006D07A9"/>
    <w:rsid w:val="006D16BD"/>
    <w:rsid w:val="006D4AC1"/>
    <w:rsid w:val="006D5089"/>
    <w:rsid w:val="006D78D2"/>
    <w:rsid w:val="006E0DAA"/>
    <w:rsid w:val="006E26B3"/>
    <w:rsid w:val="006E29CC"/>
    <w:rsid w:val="006E36C3"/>
    <w:rsid w:val="006E3A39"/>
    <w:rsid w:val="006E5478"/>
    <w:rsid w:val="006E54E8"/>
    <w:rsid w:val="006E5B0E"/>
    <w:rsid w:val="006E776D"/>
    <w:rsid w:val="006F0A52"/>
    <w:rsid w:val="006F4CC5"/>
    <w:rsid w:val="006F5449"/>
    <w:rsid w:val="006F5A45"/>
    <w:rsid w:val="006F5AE0"/>
    <w:rsid w:val="006F62DB"/>
    <w:rsid w:val="007033DE"/>
    <w:rsid w:val="00704693"/>
    <w:rsid w:val="00704979"/>
    <w:rsid w:val="00704BEC"/>
    <w:rsid w:val="0070537B"/>
    <w:rsid w:val="00707458"/>
    <w:rsid w:val="00710522"/>
    <w:rsid w:val="0071180E"/>
    <w:rsid w:val="00717574"/>
    <w:rsid w:val="00717AF8"/>
    <w:rsid w:val="00720543"/>
    <w:rsid w:val="007213A0"/>
    <w:rsid w:val="00722D76"/>
    <w:rsid w:val="00723F41"/>
    <w:rsid w:val="00724DBC"/>
    <w:rsid w:val="0072547C"/>
    <w:rsid w:val="00730C2A"/>
    <w:rsid w:val="0073773E"/>
    <w:rsid w:val="007413A2"/>
    <w:rsid w:val="00742E18"/>
    <w:rsid w:val="007433AE"/>
    <w:rsid w:val="007455C6"/>
    <w:rsid w:val="0075121B"/>
    <w:rsid w:val="00753436"/>
    <w:rsid w:val="00753445"/>
    <w:rsid w:val="00754E2C"/>
    <w:rsid w:val="00755F26"/>
    <w:rsid w:val="007623F2"/>
    <w:rsid w:val="00763BE9"/>
    <w:rsid w:val="007650AF"/>
    <w:rsid w:val="0076729D"/>
    <w:rsid w:val="00767D1B"/>
    <w:rsid w:val="00773550"/>
    <w:rsid w:val="007743E4"/>
    <w:rsid w:val="0077657B"/>
    <w:rsid w:val="0078135C"/>
    <w:rsid w:val="00781FF8"/>
    <w:rsid w:val="0078349C"/>
    <w:rsid w:val="00785F08"/>
    <w:rsid w:val="00786E6A"/>
    <w:rsid w:val="00786F25"/>
    <w:rsid w:val="007874BF"/>
    <w:rsid w:val="00791A47"/>
    <w:rsid w:val="00793193"/>
    <w:rsid w:val="00793B05"/>
    <w:rsid w:val="00795F17"/>
    <w:rsid w:val="007960C7"/>
    <w:rsid w:val="007979F3"/>
    <w:rsid w:val="00797FD9"/>
    <w:rsid w:val="007A4FB9"/>
    <w:rsid w:val="007A6C91"/>
    <w:rsid w:val="007A6E22"/>
    <w:rsid w:val="007B11CF"/>
    <w:rsid w:val="007B18AD"/>
    <w:rsid w:val="007B3797"/>
    <w:rsid w:val="007B47BE"/>
    <w:rsid w:val="007B798D"/>
    <w:rsid w:val="007C2863"/>
    <w:rsid w:val="007C5550"/>
    <w:rsid w:val="007C7A33"/>
    <w:rsid w:val="007D3C17"/>
    <w:rsid w:val="007D50F2"/>
    <w:rsid w:val="007D5D71"/>
    <w:rsid w:val="007E1169"/>
    <w:rsid w:val="007E41DF"/>
    <w:rsid w:val="007E71C2"/>
    <w:rsid w:val="007E7595"/>
    <w:rsid w:val="007F05E5"/>
    <w:rsid w:val="007F0ABF"/>
    <w:rsid w:val="007F0D79"/>
    <w:rsid w:val="007F109F"/>
    <w:rsid w:val="007F28E7"/>
    <w:rsid w:val="007F5EA8"/>
    <w:rsid w:val="00801B86"/>
    <w:rsid w:val="00803552"/>
    <w:rsid w:val="00803ACC"/>
    <w:rsid w:val="00806321"/>
    <w:rsid w:val="0080728F"/>
    <w:rsid w:val="008104E9"/>
    <w:rsid w:val="00815B71"/>
    <w:rsid w:val="00815D17"/>
    <w:rsid w:val="00817697"/>
    <w:rsid w:val="008222CA"/>
    <w:rsid w:val="00823C9D"/>
    <w:rsid w:val="008259DE"/>
    <w:rsid w:val="00826D23"/>
    <w:rsid w:val="00831A64"/>
    <w:rsid w:val="00831F0C"/>
    <w:rsid w:val="00831F45"/>
    <w:rsid w:val="008360BF"/>
    <w:rsid w:val="00836534"/>
    <w:rsid w:val="008367DB"/>
    <w:rsid w:val="00837F7C"/>
    <w:rsid w:val="00840E75"/>
    <w:rsid w:val="00843401"/>
    <w:rsid w:val="00843BC9"/>
    <w:rsid w:val="00845D15"/>
    <w:rsid w:val="00847890"/>
    <w:rsid w:val="00847C54"/>
    <w:rsid w:val="00851AA3"/>
    <w:rsid w:val="008524BB"/>
    <w:rsid w:val="00853210"/>
    <w:rsid w:val="00853EFD"/>
    <w:rsid w:val="0085412C"/>
    <w:rsid w:val="008575AB"/>
    <w:rsid w:val="00862487"/>
    <w:rsid w:val="008643B1"/>
    <w:rsid w:val="00866901"/>
    <w:rsid w:val="00870F20"/>
    <w:rsid w:val="008777BC"/>
    <w:rsid w:val="0088110D"/>
    <w:rsid w:val="00882445"/>
    <w:rsid w:val="00884531"/>
    <w:rsid w:val="00884838"/>
    <w:rsid w:val="0088562D"/>
    <w:rsid w:val="00885FC4"/>
    <w:rsid w:val="0089140C"/>
    <w:rsid w:val="00892460"/>
    <w:rsid w:val="008924CD"/>
    <w:rsid w:val="008932E7"/>
    <w:rsid w:val="0089345F"/>
    <w:rsid w:val="00893647"/>
    <w:rsid w:val="00893BBA"/>
    <w:rsid w:val="00893EF1"/>
    <w:rsid w:val="008947F1"/>
    <w:rsid w:val="008A05FC"/>
    <w:rsid w:val="008A36EB"/>
    <w:rsid w:val="008A3B25"/>
    <w:rsid w:val="008A6E7A"/>
    <w:rsid w:val="008A7E5A"/>
    <w:rsid w:val="008B35F3"/>
    <w:rsid w:val="008B3B73"/>
    <w:rsid w:val="008B639A"/>
    <w:rsid w:val="008B79BE"/>
    <w:rsid w:val="008B7DB2"/>
    <w:rsid w:val="008B7E3D"/>
    <w:rsid w:val="008C0150"/>
    <w:rsid w:val="008C3F3D"/>
    <w:rsid w:val="008C7836"/>
    <w:rsid w:val="008D0004"/>
    <w:rsid w:val="008D075A"/>
    <w:rsid w:val="008D2933"/>
    <w:rsid w:val="008D61C8"/>
    <w:rsid w:val="008D7015"/>
    <w:rsid w:val="008E3596"/>
    <w:rsid w:val="008E45E2"/>
    <w:rsid w:val="008E65FE"/>
    <w:rsid w:val="008E6BA1"/>
    <w:rsid w:val="008E7CD6"/>
    <w:rsid w:val="008F1F83"/>
    <w:rsid w:val="008F4949"/>
    <w:rsid w:val="009001C0"/>
    <w:rsid w:val="00905AF9"/>
    <w:rsid w:val="00911DD5"/>
    <w:rsid w:val="00915C10"/>
    <w:rsid w:val="00934F18"/>
    <w:rsid w:val="00942F54"/>
    <w:rsid w:val="00943BD0"/>
    <w:rsid w:val="00945FB3"/>
    <w:rsid w:val="0095012C"/>
    <w:rsid w:val="00951993"/>
    <w:rsid w:val="00951ADB"/>
    <w:rsid w:val="00952A09"/>
    <w:rsid w:val="00956EBD"/>
    <w:rsid w:val="00956EFB"/>
    <w:rsid w:val="00957517"/>
    <w:rsid w:val="00962E76"/>
    <w:rsid w:val="00964744"/>
    <w:rsid w:val="00964B73"/>
    <w:rsid w:val="00972220"/>
    <w:rsid w:val="00972670"/>
    <w:rsid w:val="00976508"/>
    <w:rsid w:val="00976F77"/>
    <w:rsid w:val="00977EB6"/>
    <w:rsid w:val="0098002F"/>
    <w:rsid w:val="00980334"/>
    <w:rsid w:val="009803D6"/>
    <w:rsid w:val="00982470"/>
    <w:rsid w:val="00983354"/>
    <w:rsid w:val="00983CC9"/>
    <w:rsid w:val="0099101A"/>
    <w:rsid w:val="0099195E"/>
    <w:rsid w:val="009951A8"/>
    <w:rsid w:val="009A34C3"/>
    <w:rsid w:val="009A3FF9"/>
    <w:rsid w:val="009A439D"/>
    <w:rsid w:val="009A4F86"/>
    <w:rsid w:val="009A5C42"/>
    <w:rsid w:val="009A6BA6"/>
    <w:rsid w:val="009A79C2"/>
    <w:rsid w:val="009B1CE4"/>
    <w:rsid w:val="009B2646"/>
    <w:rsid w:val="009B35CA"/>
    <w:rsid w:val="009B3CF9"/>
    <w:rsid w:val="009B60BF"/>
    <w:rsid w:val="009C1D91"/>
    <w:rsid w:val="009C34BE"/>
    <w:rsid w:val="009C7E29"/>
    <w:rsid w:val="009D0CFF"/>
    <w:rsid w:val="009D13DC"/>
    <w:rsid w:val="009D1AAC"/>
    <w:rsid w:val="009E3878"/>
    <w:rsid w:val="009E43AF"/>
    <w:rsid w:val="009E467D"/>
    <w:rsid w:val="009F62BF"/>
    <w:rsid w:val="00A00C3A"/>
    <w:rsid w:val="00A00D69"/>
    <w:rsid w:val="00A01278"/>
    <w:rsid w:val="00A0170F"/>
    <w:rsid w:val="00A04E88"/>
    <w:rsid w:val="00A04EBA"/>
    <w:rsid w:val="00A051AF"/>
    <w:rsid w:val="00A05BAA"/>
    <w:rsid w:val="00A0737F"/>
    <w:rsid w:val="00A10ADA"/>
    <w:rsid w:val="00A12939"/>
    <w:rsid w:val="00A229C4"/>
    <w:rsid w:val="00A235A1"/>
    <w:rsid w:val="00A23C1A"/>
    <w:rsid w:val="00A25033"/>
    <w:rsid w:val="00A2595A"/>
    <w:rsid w:val="00A25CAB"/>
    <w:rsid w:val="00A26A00"/>
    <w:rsid w:val="00A26CC4"/>
    <w:rsid w:val="00A27D30"/>
    <w:rsid w:val="00A30A30"/>
    <w:rsid w:val="00A33A79"/>
    <w:rsid w:val="00A341BA"/>
    <w:rsid w:val="00A34556"/>
    <w:rsid w:val="00A34794"/>
    <w:rsid w:val="00A34938"/>
    <w:rsid w:val="00A35266"/>
    <w:rsid w:val="00A3544F"/>
    <w:rsid w:val="00A35B17"/>
    <w:rsid w:val="00A36D70"/>
    <w:rsid w:val="00A3700F"/>
    <w:rsid w:val="00A37CF6"/>
    <w:rsid w:val="00A40AA7"/>
    <w:rsid w:val="00A42AB1"/>
    <w:rsid w:val="00A45BD0"/>
    <w:rsid w:val="00A45D55"/>
    <w:rsid w:val="00A471B9"/>
    <w:rsid w:val="00A50535"/>
    <w:rsid w:val="00A51B66"/>
    <w:rsid w:val="00A6157F"/>
    <w:rsid w:val="00A64615"/>
    <w:rsid w:val="00A6728E"/>
    <w:rsid w:val="00A700B3"/>
    <w:rsid w:val="00A73DC5"/>
    <w:rsid w:val="00A762DA"/>
    <w:rsid w:val="00A76BD6"/>
    <w:rsid w:val="00A80264"/>
    <w:rsid w:val="00A80B9E"/>
    <w:rsid w:val="00A80CD2"/>
    <w:rsid w:val="00A825E4"/>
    <w:rsid w:val="00A873CC"/>
    <w:rsid w:val="00A87812"/>
    <w:rsid w:val="00A96137"/>
    <w:rsid w:val="00A97C02"/>
    <w:rsid w:val="00AA033D"/>
    <w:rsid w:val="00AA2E52"/>
    <w:rsid w:val="00AA4E3B"/>
    <w:rsid w:val="00AA62BB"/>
    <w:rsid w:val="00AA6777"/>
    <w:rsid w:val="00AB33DF"/>
    <w:rsid w:val="00AB3479"/>
    <w:rsid w:val="00AB4FCE"/>
    <w:rsid w:val="00AB55A7"/>
    <w:rsid w:val="00AB583C"/>
    <w:rsid w:val="00AC005D"/>
    <w:rsid w:val="00AC087D"/>
    <w:rsid w:val="00AC2B34"/>
    <w:rsid w:val="00AC5571"/>
    <w:rsid w:val="00AE05C5"/>
    <w:rsid w:val="00AE4259"/>
    <w:rsid w:val="00AE4B7A"/>
    <w:rsid w:val="00AF0D02"/>
    <w:rsid w:val="00AF114D"/>
    <w:rsid w:val="00AF6846"/>
    <w:rsid w:val="00B00A08"/>
    <w:rsid w:val="00B02676"/>
    <w:rsid w:val="00B028BF"/>
    <w:rsid w:val="00B031E9"/>
    <w:rsid w:val="00B04D5E"/>
    <w:rsid w:val="00B051FF"/>
    <w:rsid w:val="00B102A7"/>
    <w:rsid w:val="00B103F4"/>
    <w:rsid w:val="00B12CC2"/>
    <w:rsid w:val="00B1427C"/>
    <w:rsid w:val="00B16455"/>
    <w:rsid w:val="00B16F8A"/>
    <w:rsid w:val="00B1735F"/>
    <w:rsid w:val="00B17E72"/>
    <w:rsid w:val="00B232AA"/>
    <w:rsid w:val="00B26458"/>
    <w:rsid w:val="00B274BD"/>
    <w:rsid w:val="00B27776"/>
    <w:rsid w:val="00B300B4"/>
    <w:rsid w:val="00B34BCF"/>
    <w:rsid w:val="00B35122"/>
    <w:rsid w:val="00B3567E"/>
    <w:rsid w:val="00B35DF1"/>
    <w:rsid w:val="00B36539"/>
    <w:rsid w:val="00B3771A"/>
    <w:rsid w:val="00B41A40"/>
    <w:rsid w:val="00B41A5C"/>
    <w:rsid w:val="00B47893"/>
    <w:rsid w:val="00B5246E"/>
    <w:rsid w:val="00B5475B"/>
    <w:rsid w:val="00B54961"/>
    <w:rsid w:val="00B63125"/>
    <w:rsid w:val="00B63840"/>
    <w:rsid w:val="00B646F2"/>
    <w:rsid w:val="00B666B1"/>
    <w:rsid w:val="00B666B2"/>
    <w:rsid w:val="00B67B67"/>
    <w:rsid w:val="00B719DB"/>
    <w:rsid w:val="00B72DED"/>
    <w:rsid w:val="00B73A37"/>
    <w:rsid w:val="00B73D82"/>
    <w:rsid w:val="00B75E8B"/>
    <w:rsid w:val="00B7798A"/>
    <w:rsid w:val="00B77EA0"/>
    <w:rsid w:val="00B77F45"/>
    <w:rsid w:val="00B818E3"/>
    <w:rsid w:val="00B82118"/>
    <w:rsid w:val="00B83845"/>
    <w:rsid w:val="00B83F3B"/>
    <w:rsid w:val="00B848F6"/>
    <w:rsid w:val="00B84E5D"/>
    <w:rsid w:val="00B931C9"/>
    <w:rsid w:val="00B9460A"/>
    <w:rsid w:val="00BA0628"/>
    <w:rsid w:val="00BA36D8"/>
    <w:rsid w:val="00BA61ED"/>
    <w:rsid w:val="00BB0080"/>
    <w:rsid w:val="00BB47EB"/>
    <w:rsid w:val="00BB7141"/>
    <w:rsid w:val="00BC2AEC"/>
    <w:rsid w:val="00BC58DD"/>
    <w:rsid w:val="00BD0CD2"/>
    <w:rsid w:val="00BD1773"/>
    <w:rsid w:val="00BD3006"/>
    <w:rsid w:val="00BD37A9"/>
    <w:rsid w:val="00BD3C96"/>
    <w:rsid w:val="00BD58C8"/>
    <w:rsid w:val="00BD7376"/>
    <w:rsid w:val="00BD78E9"/>
    <w:rsid w:val="00BD7B99"/>
    <w:rsid w:val="00BE0133"/>
    <w:rsid w:val="00BE1400"/>
    <w:rsid w:val="00BE35D0"/>
    <w:rsid w:val="00BE45A1"/>
    <w:rsid w:val="00BE6DA2"/>
    <w:rsid w:val="00BE79D9"/>
    <w:rsid w:val="00BE7FE2"/>
    <w:rsid w:val="00BF0469"/>
    <w:rsid w:val="00BF1BF0"/>
    <w:rsid w:val="00BF1D48"/>
    <w:rsid w:val="00BF1FC4"/>
    <w:rsid w:val="00BF4D9C"/>
    <w:rsid w:val="00BF509D"/>
    <w:rsid w:val="00BF5A0D"/>
    <w:rsid w:val="00BF60FE"/>
    <w:rsid w:val="00BF7283"/>
    <w:rsid w:val="00C01686"/>
    <w:rsid w:val="00C04F1E"/>
    <w:rsid w:val="00C062C8"/>
    <w:rsid w:val="00C071CD"/>
    <w:rsid w:val="00C07FB7"/>
    <w:rsid w:val="00C12542"/>
    <w:rsid w:val="00C13EC2"/>
    <w:rsid w:val="00C219D7"/>
    <w:rsid w:val="00C24E08"/>
    <w:rsid w:val="00C261D2"/>
    <w:rsid w:val="00C26C8C"/>
    <w:rsid w:val="00C27C6B"/>
    <w:rsid w:val="00C27E57"/>
    <w:rsid w:val="00C31EF2"/>
    <w:rsid w:val="00C367EC"/>
    <w:rsid w:val="00C3775D"/>
    <w:rsid w:val="00C40201"/>
    <w:rsid w:val="00C419C7"/>
    <w:rsid w:val="00C44139"/>
    <w:rsid w:val="00C441DB"/>
    <w:rsid w:val="00C4463F"/>
    <w:rsid w:val="00C507A5"/>
    <w:rsid w:val="00C51A55"/>
    <w:rsid w:val="00C558C8"/>
    <w:rsid w:val="00C55F23"/>
    <w:rsid w:val="00C61373"/>
    <w:rsid w:val="00C62792"/>
    <w:rsid w:val="00C62A13"/>
    <w:rsid w:val="00C62E81"/>
    <w:rsid w:val="00C6645C"/>
    <w:rsid w:val="00C674D9"/>
    <w:rsid w:val="00C67694"/>
    <w:rsid w:val="00C67D1F"/>
    <w:rsid w:val="00C70F1A"/>
    <w:rsid w:val="00C7162C"/>
    <w:rsid w:val="00C746A6"/>
    <w:rsid w:val="00C76454"/>
    <w:rsid w:val="00C7704E"/>
    <w:rsid w:val="00C82211"/>
    <w:rsid w:val="00C8225F"/>
    <w:rsid w:val="00C83E5F"/>
    <w:rsid w:val="00C876A9"/>
    <w:rsid w:val="00C878BD"/>
    <w:rsid w:val="00C904B5"/>
    <w:rsid w:val="00C9209D"/>
    <w:rsid w:val="00C92998"/>
    <w:rsid w:val="00C92ABC"/>
    <w:rsid w:val="00C957B4"/>
    <w:rsid w:val="00C965BD"/>
    <w:rsid w:val="00C9784C"/>
    <w:rsid w:val="00CA2BA9"/>
    <w:rsid w:val="00CA2F43"/>
    <w:rsid w:val="00CA445E"/>
    <w:rsid w:val="00CA5B6D"/>
    <w:rsid w:val="00CB3F26"/>
    <w:rsid w:val="00CB487B"/>
    <w:rsid w:val="00CB4AEC"/>
    <w:rsid w:val="00CB5406"/>
    <w:rsid w:val="00CB7CBA"/>
    <w:rsid w:val="00CC2ACF"/>
    <w:rsid w:val="00CC4003"/>
    <w:rsid w:val="00CC4625"/>
    <w:rsid w:val="00CC5AD3"/>
    <w:rsid w:val="00CC5DA4"/>
    <w:rsid w:val="00CC5EAE"/>
    <w:rsid w:val="00CD44F0"/>
    <w:rsid w:val="00CD4B92"/>
    <w:rsid w:val="00CD7BEC"/>
    <w:rsid w:val="00CD7E66"/>
    <w:rsid w:val="00CE0C25"/>
    <w:rsid w:val="00CE1042"/>
    <w:rsid w:val="00CE17CC"/>
    <w:rsid w:val="00CE251C"/>
    <w:rsid w:val="00CE258C"/>
    <w:rsid w:val="00CE2DB3"/>
    <w:rsid w:val="00CE615C"/>
    <w:rsid w:val="00CF0D3A"/>
    <w:rsid w:val="00CF46A3"/>
    <w:rsid w:val="00CF6022"/>
    <w:rsid w:val="00D018A8"/>
    <w:rsid w:val="00D01D2E"/>
    <w:rsid w:val="00D029B9"/>
    <w:rsid w:val="00D02AD1"/>
    <w:rsid w:val="00D06421"/>
    <w:rsid w:val="00D06CD9"/>
    <w:rsid w:val="00D115BF"/>
    <w:rsid w:val="00D11E10"/>
    <w:rsid w:val="00D12C52"/>
    <w:rsid w:val="00D14BC3"/>
    <w:rsid w:val="00D1571F"/>
    <w:rsid w:val="00D15B1B"/>
    <w:rsid w:val="00D15EAA"/>
    <w:rsid w:val="00D16CF4"/>
    <w:rsid w:val="00D20712"/>
    <w:rsid w:val="00D21492"/>
    <w:rsid w:val="00D2226C"/>
    <w:rsid w:val="00D230AF"/>
    <w:rsid w:val="00D23204"/>
    <w:rsid w:val="00D2360A"/>
    <w:rsid w:val="00D23DAD"/>
    <w:rsid w:val="00D23E2D"/>
    <w:rsid w:val="00D24706"/>
    <w:rsid w:val="00D270AF"/>
    <w:rsid w:val="00D32861"/>
    <w:rsid w:val="00D32F55"/>
    <w:rsid w:val="00D33CB0"/>
    <w:rsid w:val="00D34C4C"/>
    <w:rsid w:val="00D35C53"/>
    <w:rsid w:val="00D37EC1"/>
    <w:rsid w:val="00D41CC4"/>
    <w:rsid w:val="00D4470B"/>
    <w:rsid w:val="00D45EE1"/>
    <w:rsid w:val="00D503C8"/>
    <w:rsid w:val="00D5110B"/>
    <w:rsid w:val="00D51632"/>
    <w:rsid w:val="00D51B44"/>
    <w:rsid w:val="00D52153"/>
    <w:rsid w:val="00D52636"/>
    <w:rsid w:val="00D52D44"/>
    <w:rsid w:val="00D57637"/>
    <w:rsid w:val="00D60FC1"/>
    <w:rsid w:val="00D61508"/>
    <w:rsid w:val="00D61E8D"/>
    <w:rsid w:val="00D64DEC"/>
    <w:rsid w:val="00D663C5"/>
    <w:rsid w:val="00D7538E"/>
    <w:rsid w:val="00D75FEE"/>
    <w:rsid w:val="00D77561"/>
    <w:rsid w:val="00D806BA"/>
    <w:rsid w:val="00D82304"/>
    <w:rsid w:val="00D84756"/>
    <w:rsid w:val="00D84B0B"/>
    <w:rsid w:val="00D8551D"/>
    <w:rsid w:val="00D8731B"/>
    <w:rsid w:val="00D87DFA"/>
    <w:rsid w:val="00D87E3C"/>
    <w:rsid w:val="00D92E6D"/>
    <w:rsid w:val="00D94199"/>
    <w:rsid w:val="00D94634"/>
    <w:rsid w:val="00D9570E"/>
    <w:rsid w:val="00D97F56"/>
    <w:rsid w:val="00DA0FF7"/>
    <w:rsid w:val="00DA6417"/>
    <w:rsid w:val="00DA6A15"/>
    <w:rsid w:val="00DA6B68"/>
    <w:rsid w:val="00DB06B3"/>
    <w:rsid w:val="00DB4FF0"/>
    <w:rsid w:val="00DB565F"/>
    <w:rsid w:val="00DB750C"/>
    <w:rsid w:val="00DB7904"/>
    <w:rsid w:val="00DC037E"/>
    <w:rsid w:val="00DC0725"/>
    <w:rsid w:val="00DC2779"/>
    <w:rsid w:val="00DC3738"/>
    <w:rsid w:val="00DC3E77"/>
    <w:rsid w:val="00DC46E8"/>
    <w:rsid w:val="00DC67D8"/>
    <w:rsid w:val="00DC6807"/>
    <w:rsid w:val="00DC7ECE"/>
    <w:rsid w:val="00DD1FC3"/>
    <w:rsid w:val="00DD41EC"/>
    <w:rsid w:val="00DD5014"/>
    <w:rsid w:val="00DD5553"/>
    <w:rsid w:val="00DE12F9"/>
    <w:rsid w:val="00DE3B0A"/>
    <w:rsid w:val="00DE59CA"/>
    <w:rsid w:val="00DE61A2"/>
    <w:rsid w:val="00DE62E8"/>
    <w:rsid w:val="00DF27C5"/>
    <w:rsid w:val="00DF28F0"/>
    <w:rsid w:val="00DF6CC1"/>
    <w:rsid w:val="00E00379"/>
    <w:rsid w:val="00E003A3"/>
    <w:rsid w:val="00E01294"/>
    <w:rsid w:val="00E060B0"/>
    <w:rsid w:val="00E109B8"/>
    <w:rsid w:val="00E12439"/>
    <w:rsid w:val="00E13226"/>
    <w:rsid w:val="00E13525"/>
    <w:rsid w:val="00E15237"/>
    <w:rsid w:val="00E15702"/>
    <w:rsid w:val="00E15916"/>
    <w:rsid w:val="00E17F6E"/>
    <w:rsid w:val="00E236C7"/>
    <w:rsid w:val="00E32B6E"/>
    <w:rsid w:val="00E40DA7"/>
    <w:rsid w:val="00E41884"/>
    <w:rsid w:val="00E41C39"/>
    <w:rsid w:val="00E4399E"/>
    <w:rsid w:val="00E44053"/>
    <w:rsid w:val="00E44641"/>
    <w:rsid w:val="00E454C5"/>
    <w:rsid w:val="00E461DA"/>
    <w:rsid w:val="00E46BAC"/>
    <w:rsid w:val="00E47514"/>
    <w:rsid w:val="00E50EB2"/>
    <w:rsid w:val="00E51790"/>
    <w:rsid w:val="00E54272"/>
    <w:rsid w:val="00E5579D"/>
    <w:rsid w:val="00E601C6"/>
    <w:rsid w:val="00E603C8"/>
    <w:rsid w:val="00E61C91"/>
    <w:rsid w:val="00E62931"/>
    <w:rsid w:val="00E6345B"/>
    <w:rsid w:val="00E648B0"/>
    <w:rsid w:val="00E64AEF"/>
    <w:rsid w:val="00E6744A"/>
    <w:rsid w:val="00E675BD"/>
    <w:rsid w:val="00E72C65"/>
    <w:rsid w:val="00E8004A"/>
    <w:rsid w:val="00E80615"/>
    <w:rsid w:val="00E827C2"/>
    <w:rsid w:val="00E83519"/>
    <w:rsid w:val="00E83B19"/>
    <w:rsid w:val="00E8470F"/>
    <w:rsid w:val="00E86ED1"/>
    <w:rsid w:val="00E90447"/>
    <w:rsid w:val="00E904C4"/>
    <w:rsid w:val="00E90E75"/>
    <w:rsid w:val="00E91CE0"/>
    <w:rsid w:val="00E95C42"/>
    <w:rsid w:val="00EA26CF"/>
    <w:rsid w:val="00EA2B20"/>
    <w:rsid w:val="00EA381D"/>
    <w:rsid w:val="00EA4D4A"/>
    <w:rsid w:val="00EA4E7E"/>
    <w:rsid w:val="00EB23DC"/>
    <w:rsid w:val="00EB292B"/>
    <w:rsid w:val="00EB2E05"/>
    <w:rsid w:val="00EB5D6E"/>
    <w:rsid w:val="00EB675F"/>
    <w:rsid w:val="00EC0ABD"/>
    <w:rsid w:val="00EC3605"/>
    <w:rsid w:val="00EC4704"/>
    <w:rsid w:val="00EC7B46"/>
    <w:rsid w:val="00ED2EC0"/>
    <w:rsid w:val="00ED3516"/>
    <w:rsid w:val="00ED4B2E"/>
    <w:rsid w:val="00ED79E5"/>
    <w:rsid w:val="00EE1BE6"/>
    <w:rsid w:val="00EE2BBB"/>
    <w:rsid w:val="00EE2F32"/>
    <w:rsid w:val="00EE35AD"/>
    <w:rsid w:val="00EE36D0"/>
    <w:rsid w:val="00EE443B"/>
    <w:rsid w:val="00EE4CE9"/>
    <w:rsid w:val="00EF1E91"/>
    <w:rsid w:val="00EF25DA"/>
    <w:rsid w:val="00EF2693"/>
    <w:rsid w:val="00EF2DAF"/>
    <w:rsid w:val="00EF3179"/>
    <w:rsid w:val="00EF3B5A"/>
    <w:rsid w:val="00EF4FE8"/>
    <w:rsid w:val="00EF5C95"/>
    <w:rsid w:val="00F023C9"/>
    <w:rsid w:val="00F02CE3"/>
    <w:rsid w:val="00F0420E"/>
    <w:rsid w:val="00F059D9"/>
    <w:rsid w:val="00F06B7A"/>
    <w:rsid w:val="00F118CE"/>
    <w:rsid w:val="00F13857"/>
    <w:rsid w:val="00F148A2"/>
    <w:rsid w:val="00F16A4F"/>
    <w:rsid w:val="00F20D50"/>
    <w:rsid w:val="00F22399"/>
    <w:rsid w:val="00F2332E"/>
    <w:rsid w:val="00F27298"/>
    <w:rsid w:val="00F274F1"/>
    <w:rsid w:val="00F27FC2"/>
    <w:rsid w:val="00F31032"/>
    <w:rsid w:val="00F33CF1"/>
    <w:rsid w:val="00F33FE9"/>
    <w:rsid w:val="00F3435B"/>
    <w:rsid w:val="00F35DF1"/>
    <w:rsid w:val="00F37789"/>
    <w:rsid w:val="00F4251F"/>
    <w:rsid w:val="00F52739"/>
    <w:rsid w:val="00F52EFE"/>
    <w:rsid w:val="00F550DC"/>
    <w:rsid w:val="00F55C19"/>
    <w:rsid w:val="00F568CE"/>
    <w:rsid w:val="00F61478"/>
    <w:rsid w:val="00F622BE"/>
    <w:rsid w:val="00F6274A"/>
    <w:rsid w:val="00F63153"/>
    <w:rsid w:val="00F66258"/>
    <w:rsid w:val="00F663C6"/>
    <w:rsid w:val="00F716B6"/>
    <w:rsid w:val="00F727F8"/>
    <w:rsid w:val="00F73E91"/>
    <w:rsid w:val="00F74136"/>
    <w:rsid w:val="00F76662"/>
    <w:rsid w:val="00F77160"/>
    <w:rsid w:val="00F80476"/>
    <w:rsid w:val="00F80BFF"/>
    <w:rsid w:val="00F811C7"/>
    <w:rsid w:val="00F81CEF"/>
    <w:rsid w:val="00F81D80"/>
    <w:rsid w:val="00F81F22"/>
    <w:rsid w:val="00F864D7"/>
    <w:rsid w:val="00F908A5"/>
    <w:rsid w:val="00F91163"/>
    <w:rsid w:val="00F91BCA"/>
    <w:rsid w:val="00F94FFC"/>
    <w:rsid w:val="00F97E76"/>
    <w:rsid w:val="00FA3455"/>
    <w:rsid w:val="00FA4150"/>
    <w:rsid w:val="00FA7F2A"/>
    <w:rsid w:val="00FB051B"/>
    <w:rsid w:val="00FB19AD"/>
    <w:rsid w:val="00FB1D64"/>
    <w:rsid w:val="00FB499E"/>
    <w:rsid w:val="00FB4A20"/>
    <w:rsid w:val="00FB4CE1"/>
    <w:rsid w:val="00FC5915"/>
    <w:rsid w:val="00FC60D3"/>
    <w:rsid w:val="00FC6AE0"/>
    <w:rsid w:val="00FD44E0"/>
    <w:rsid w:val="00FD5A4E"/>
    <w:rsid w:val="00FD7935"/>
    <w:rsid w:val="00FD7A80"/>
    <w:rsid w:val="00FE1CEB"/>
    <w:rsid w:val="00FE2BCA"/>
    <w:rsid w:val="00FE495B"/>
    <w:rsid w:val="00FE59EA"/>
    <w:rsid w:val="00FE6432"/>
    <w:rsid w:val="00FE785E"/>
    <w:rsid w:val="00FE7C43"/>
    <w:rsid w:val="00FF2157"/>
    <w:rsid w:val="0D7EC4A0"/>
    <w:rsid w:val="0F65C703"/>
    <w:rsid w:val="1BBF9303"/>
    <w:rsid w:val="1BFBE008"/>
    <w:rsid w:val="1DFFCB85"/>
    <w:rsid w:val="1EAA87BA"/>
    <w:rsid w:val="1FBE01C4"/>
    <w:rsid w:val="1FBEF829"/>
    <w:rsid w:val="27F7A42E"/>
    <w:rsid w:val="2D3BA632"/>
    <w:rsid w:val="2FDD1FF2"/>
    <w:rsid w:val="2FF30ACB"/>
    <w:rsid w:val="33D6BD1A"/>
    <w:rsid w:val="35EBA294"/>
    <w:rsid w:val="369FB511"/>
    <w:rsid w:val="36DFB80F"/>
    <w:rsid w:val="370F8BBD"/>
    <w:rsid w:val="37A53406"/>
    <w:rsid w:val="37E31DB6"/>
    <w:rsid w:val="37F73A75"/>
    <w:rsid w:val="3BCBCBFA"/>
    <w:rsid w:val="3BEE06E7"/>
    <w:rsid w:val="3CFF9E7C"/>
    <w:rsid w:val="3D9DA405"/>
    <w:rsid w:val="3E3F6E07"/>
    <w:rsid w:val="3E87E4DC"/>
    <w:rsid w:val="3EAB0813"/>
    <w:rsid w:val="3FFFFDDC"/>
    <w:rsid w:val="47719D14"/>
    <w:rsid w:val="4BDF904A"/>
    <w:rsid w:val="4FDFDBB9"/>
    <w:rsid w:val="4FEEB1CC"/>
    <w:rsid w:val="57DDCDC5"/>
    <w:rsid w:val="598F209D"/>
    <w:rsid w:val="59FCAAE0"/>
    <w:rsid w:val="5A7EB426"/>
    <w:rsid w:val="5BB7D188"/>
    <w:rsid w:val="5C3BC449"/>
    <w:rsid w:val="5F052595"/>
    <w:rsid w:val="5F3F94D8"/>
    <w:rsid w:val="5F3FFBD6"/>
    <w:rsid w:val="5F6CBC4D"/>
    <w:rsid w:val="5F7B91DA"/>
    <w:rsid w:val="5FDD97C7"/>
    <w:rsid w:val="613341AC"/>
    <w:rsid w:val="616CC207"/>
    <w:rsid w:val="677B9BB5"/>
    <w:rsid w:val="67F3484C"/>
    <w:rsid w:val="687FEC95"/>
    <w:rsid w:val="6A73206A"/>
    <w:rsid w:val="6CF5EF5C"/>
    <w:rsid w:val="6DCC4262"/>
    <w:rsid w:val="6DFF19C2"/>
    <w:rsid w:val="6EEF604C"/>
    <w:rsid w:val="6FB762B8"/>
    <w:rsid w:val="6FBE4358"/>
    <w:rsid w:val="6FDEADD9"/>
    <w:rsid w:val="6FE6EFA4"/>
    <w:rsid w:val="739BC053"/>
    <w:rsid w:val="74BB1138"/>
    <w:rsid w:val="75FF45DA"/>
    <w:rsid w:val="76B741AD"/>
    <w:rsid w:val="777F5A52"/>
    <w:rsid w:val="77B74D07"/>
    <w:rsid w:val="78FF846C"/>
    <w:rsid w:val="7AF3AC6C"/>
    <w:rsid w:val="7B759443"/>
    <w:rsid w:val="7BBB6110"/>
    <w:rsid w:val="7BBF0F70"/>
    <w:rsid w:val="7BFFAD2A"/>
    <w:rsid w:val="7D1F0DB1"/>
    <w:rsid w:val="7D77E3B6"/>
    <w:rsid w:val="7DBB9307"/>
    <w:rsid w:val="7DF6938F"/>
    <w:rsid w:val="7DFB6279"/>
    <w:rsid w:val="7DFE2414"/>
    <w:rsid w:val="7E4D384B"/>
    <w:rsid w:val="7E7309DB"/>
    <w:rsid w:val="7EAF3B0F"/>
    <w:rsid w:val="7EDF8530"/>
    <w:rsid w:val="7EDFC01F"/>
    <w:rsid w:val="7EE3CBB2"/>
    <w:rsid w:val="7EFDFCFD"/>
    <w:rsid w:val="7EFFE48A"/>
    <w:rsid w:val="7F6F1304"/>
    <w:rsid w:val="7FADF85A"/>
    <w:rsid w:val="7FB2C7D3"/>
    <w:rsid w:val="7FEE32FB"/>
    <w:rsid w:val="7FEF75E9"/>
    <w:rsid w:val="7FFE6F2A"/>
    <w:rsid w:val="7FFF0CAC"/>
    <w:rsid w:val="7FFF23F9"/>
    <w:rsid w:val="7FFF5C1E"/>
    <w:rsid w:val="7FFF8927"/>
    <w:rsid w:val="7FFF9A30"/>
    <w:rsid w:val="7FFFD6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unhideWhenUsed="1" w:qFormat="1"/>
    <w:lsdException w:name="header" w:qFormat="1"/>
    <w:lsdException w:name="footer" w:qFormat="1"/>
    <w:lsdException w:name="caption" w:semiHidden="1" w:unhideWhenUsed="1" w:qFormat="1"/>
    <w:lsdException w:name="footnote reference" w:qFormat="1"/>
    <w:lsdException w:name="annotation reference" w:qFormat="1"/>
    <w:lsdException w:name="Title" w:qFormat="1"/>
    <w:lsdException w:name="Default Paragraph Font" w:semiHidden="1" w:uiPriority="1" w:unhideWhenUsed="1"/>
    <w:lsdException w:name="Body Text" w:qFormat="1"/>
    <w:lsdException w:name="Subtitle"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60B0"/>
    <w:pPr>
      <w:widowControl w:val="0"/>
      <w:jc w:val="both"/>
    </w:pPr>
    <w:rPr>
      <w:rFonts w:ascii="Calibri" w:hAnsi="Calibri"/>
      <w:kern w:val="2"/>
      <w:sz w:val="21"/>
      <w:szCs w:val="24"/>
    </w:rPr>
  </w:style>
  <w:style w:type="paragraph" w:styleId="3">
    <w:name w:val="heading 3"/>
    <w:basedOn w:val="a"/>
    <w:next w:val="a"/>
    <w:uiPriority w:val="99"/>
    <w:qFormat/>
    <w:rsid w:val="00E060B0"/>
    <w:pPr>
      <w:keepNext/>
      <w:keepLines/>
      <w:spacing w:before="260" w:after="260" w:line="416" w:lineRule="auto"/>
      <w:outlineLvl w:val="2"/>
    </w:pPr>
    <w:rPr>
      <w:rFonts w:ascii="Times New Roman" w:hAnsi="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sid w:val="00E060B0"/>
    <w:rPr>
      <w:b/>
      <w:bCs/>
      <w:szCs w:val="24"/>
    </w:rPr>
  </w:style>
  <w:style w:type="paragraph" w:styleId="a4">
    <w:name w:val="annotation text"/>
    <w:basedOn w:val="a"/>
    <w:link w:val="a6"/>
    <w:uiPriority w:val="99"/>
    <w:unhideWhenUsed/>
    <w:qFormat/>
    <w:rsid w:val="00E060B0"/>
    <w:pPr>
      <w:jc w:val="left"/>
    </w:pPr>
    <w:rPr>
      <w:szCs w:val="22"/>
    </w:rPr>
  </w:style>
  <w:style w:type="paragraph" w:styleId="a7">
    <w:name w:val="Body Text"/>
    <w:basedOn w:val="a"/>
    <w:link w:val="a8"/>
    <w:qFormat/>
    <w:rsid w:val="00E060B0"/>
    <w:pPr>
      <w:autoSpaceDE w:val="0"/>
      <w:autoSpaceDN w:val="0"/>
      <w:adjustRightInd w:val="0"/>
      <w:snapToGrid w:val="0"/>
      <w:spacing w:line="588" w:lineRule="atLeast"/>
    </w:pPr>
    <w:rPr>
      <w:rFonts w:ascii="宋体" w:eastAsia="仿宋_GB2312" w:hAnsi="宋体"/>
      <w:spacing w:val="-2"/>
      <w:sz w:val="32"/>
    </w:rPr>
  </w:style>
  <w:style w:type="paragraph" w:styleId="a9">
    <w:name w:val="Balloon Text"/>
    <w:basedOn w:val="a"/>
    <w:link w:val="aa"/>
    <w:qFormat/>
    <w:rsid w:val="00E060B0"/>
    <w:rPr>
      <w:sz w:val="18"/>
      <w:szCs w:val="18"/>
    </w:rPr>
  </w:style>
  <w:style w:type="paragraph" w:styleId="ab">
    <w:name w:val="footer"/>
    <w:basedOn w:val="a"/>
    <w:qFormat/>
    <w:rsid w:val="00E060B0"/>
    <w:pPr>
      <w:tabs>
        <w:tab w:val="center" w:pos="4153"/>
        <w:tab w:val="right" w:pos="8306"/>
      </w:tabs>
      <w:snapToGrid w:val="0"/>
      <w:jc w:val="left"/>
    </w:pPr>
    <w:rPr>
      <w:sz w:val="18"/>
    </w:rPr>
  </w:style>
  <w:style w:type="paragraph" w:styleId="ac">
    <w:name w:val="header"/>
    <w:basedOn w:val="a"/>
    <w:qFormat/>
    <w:rsid w:val="00E060B0"/>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d">
    <w:name w:val="Subtitle"/>
    <w:basedOn w:val="a"/>
    <w:next w:val="a"/>
    <w:uiPriority w:val="99"/>
    <w:qFormat/>
    <w:rsid w:val="00E060B0"/>
    <w:pPr>
      <w:spacing w:before="240" w:after="60" w:line="312" w:lineRule="auto"/>
      <w:jc w:val="center"/>
      <w:outlineLvl w:val="1"/>
    </w:pPr>
    <w:rPr>
      <w:rFonts w:ascii="Cambria" w:hAnsi="Cambria"/>
      <w:b/>
      <w:bCs/>
      <w:kern w:val="28"/>
      <w:sz w:val="32"/>
      <w:szCs w:val="32"/>
    </w:rPr>
  </w:style>
  <w:style w:type="paragraph" w:styleId="ae">
    <w:name w:val="footnote text"/>
    <w:basedOn w:val="a"/>
    <w:qFormat/>
    <w:rsid w:val="00E060B0"/>
    <w:pPr>
      <w:snapToGrid w:val="0"/>
      <w:jc w:val="left"/>
    </w:pPr>
    <w:rPr>
      <w:sz w:val="18"/>
    </w:rPr>
  </w:style>
  <w:style w:type="paragraph" w:styleId="af">
    <w:name w:val="Normal (Web)"/>
    <w:basedOn w:val="a"/>
    <w:qFormat/>
    <w:rsid w:val="00E060B0"/>
    <w:pPr>
      <w:spacing w:before="100" w:beforeAutospacing="1" w:after="100" w:afterAutospacing="1"/>
      <w:jc w:val="left"/>
    </w:pPr>
    <w:rPr>
      <w:kern w:val="0"/>
      <w:sz w:val="24"/>
    </w:rPr>
  </w:style>
  <w:style w:type="character" w:styleId="af0">
    <w:name w:val="Strong"/>
    <w:basedOn w:val="a0"/>
    <w:qFormat/>
    <w:rsid w:val="00E060B0"/>
    <w:rPr>
      <w:b/>
    </w:rPr>
  </w:style>
  <w:style w:type="character" w:styleId="af1">
    <w:name w:val="annotation reference"/>
    <w:basedOn w:val="a0"/>
    <w:qFormat/>
    <w:rsid w:val="00E060B0"/>
    <w:rPr>
      <w:sz w:val="21"/>
      <w:szCs w:val="21"/>
    </w:rPr>
  </w:style>
  <w:style w:type="character" w:styleId="af2">
    <w:name w:val="footnote reference"/>
    <w:basedOn w:val="a0"/>
    <w:qFormat/>
    <w:rsid w:val="00E060B0"/>
    <w:rPr>
      <w:vertAlign w:val="superscript"/>
    </w:rPr>
  </w:style>
  <w:style w:type="table" w:styleId="af3">
    <w:name w:val="Table Grid"/>
    <w:basedOn w:val="a1"/>
    <w:qFormat/>
    <w:rsid w:val="00E060B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E060B0"/>
    <w:pPr>
      <w:ind w:firstLineChars="200" w:firstLine="420"/>
    </w:pPr>
  </w:style>
  <w:style w:type="character" w:customStyle="1" w:styleId="aa">
    <w:name w:val="批注框文本字符"/>
    <w:basedOn w:val="a0"/>
    <w:link w:val="a9"/>
    <w:qFormat/>
    <w:rsid w:val="00E060B0"/>
    <w:rPr>
      <w:rFonts w:ascii="Calibri" w:hAnsi="Calibri"/>
      <w:kern w:val="2"/>
      <w:sz w:val="18"/>
      <w:szCs w:val="18"/>
    </w:rPr>
  </w:style>
  <w:style w:type="character" w:customStyle="1" w:styleId="a8">
    <w:name w:val="正文文本字符"/>
    <w:basedOn w:val="a0"/>
    <w:link w:val="a7"/>
    <w:qFormat/>
    <w:rsid w:val="00E060B0"/>
    <w:rPr>
      <w:rFonts w:ascii="宋体" w:eastAsia="仿宋_GB2312" w:hAnsi="宋体"/>
      <w:spacing w:val="-2"/>
      <w:kern w:val="2"/>
      <w:sz w:val="32"/>
      <w:szCs w:val="24"/>
    </w:rPr>
  </w:style>
  <w:style w:type="character" w:customStyle="1" w:styleId="a6">
    <w:name w:val="注释文本字符"/>
    <w:basedOn w:val="a0"/>
    <w:link w:val="a4"/>
    <w:uiPriority w:val="99"/>
    <w:qFormat/>
    <w:rsid w:val="00E060B0"/>
    <w:rPr>
      <w:rFonts w:ascii="Calibri" w:hAnsi="Calibri"/>
      <w:kern w:val="2"/>
      <w:sz w:val="21"/>
      <w:szCs w:val="22"/>
    </w:rPr>
  </w:style>
  <w:style w:type="character" w:customStyle="1" w:styleId="a5">
    <w:name w:val="批注主题字符"/>
    <w:basedOn w:val="a6"/>
    <w:link w:val="a3"/>
    <w:qFormat/>
    <w:rsid w:val="00E060B0"/>
    <w:rPr>
      <w:rFonts w:ascii="Calibri" w:hAnsi="Calibri"/>
      <w:kern w:val="2"/>
      <w:sz w:val="21"/>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unhideWhenUsed="1" w:qFormat="1"/>
    <w:lsdException w:name="header" w:qFormat="1"/>
    <w:lsdException w:name="footer" w:qFormat="1"/>
    <w:lsdException w:name="caption" w:semiHidden="1" w:unhideWhenUsed="1" w:qFormat="1"/>
    <w:lsdException w:name="footnote reference" w:qFormat="1"/>
    <w:lsdException w:name="annotation reference" w:qFormat="1"/>
    <w:lsdException w:name="Title" w:qFormat="1"/>
    <w:lsdException w:name="Default Paragraph Font" w:semiHidden="1" w:uiPriority="1" w:unhideWhenUsed="1"/>
    <w:lsdException w:name="Body Text" w:qFormat="1"/>
    <w:lsdException w:name="Subtitle"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60B0"/>
    <w:pPr>
      <w:widowControl w:val="0"/>
      <w:jc w:val="both"/>
    </w:pPr>
    <w:rPr>
      <w:rFonts w:ascii="Calibri" w:hAnsi="Calibri"/>
      <w:kern w:val="2"/>
      <w:sz w:val="21"/>
      <w:szCs w:val="24"/>
    </w:rPr>
  </w:style>
  <w:style w:type="paragraph" w:styleId="3">
    <w:name w:val="heading 3"/>
    <w:basedOn w:val="a"/>
    <w:next w:val="a"/>
    <w:uiPriority w:val="99"/>
    <w:qFormat/>
    <w:rsid w:val="00E060B0"/>
    <w:pPr>
      <w:keepNext/>
      <w:keepLines/>
      <w:spacing w:before="260" w:after="260" w:line="416" w:lineRule="auto"/>
      <w:outlineLvl w:val="2"/>
    </w:pPr>
    <w:rPr>
      <w:rFonts w:ascii="Times New Roman" w:hAnsi="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sid w:val="00E060B0"/>
    <w:rPr>
      <w:b/>
      <w:bCs/>
      <w:szCs w:val="24"/>
    </w:rPr>
  </w:style>
  <w:style w:type="paragraph" w:styleId="a4">
    <w:name w:val="annotation text"/>
    <w:basedOn w:val="a"/>
    <w:link w:val="a6"/>
    <w:uiPriority w:val="99"/>
    <w:unhideWhenUsed/>
    <w:qFormat/>
    <w:rsid w:val="00E060B0"/>
    <w:pPr>
      <w:jc w:val="left"/>
    </w:pPr>
    <w:rPr>
      <w:szCs w:val="22"/>
    </w:rPr>
  </w:style>
  <w:style w:type="paragraph" w:styleId="a7">
    <w:name w:val="Body Text"/>
    <w:basedOn w:val="a"/>
    <w:link w:val="a8"/>
    <w:qFormat/>
    <w:rsid w:val="00E060B0"/>
    <w:pPr>
      <w:autoSpaceDE w:val="0"/>
      <w:autoSpaceDN w:val="0"/>
      <w:adjustRightInd w:val="0"/>
      <w:snapToGrid w:val="0"/>
      <w:spacing w:line="588" w:lineRule="atLeast"/>
    </w:pPr>
    <w:rPr>
      <w:rFonts w:ascii="宋体" w:eastAsia="仿宋_GB2312" w:hAnsi="宋体"/>
      <w:spacing w:val="-2"/>
      <w:sz w:val="32"/>
    </w:rPr>
  </w:style>
  <w:style w:type="paragraph" w:styleId="a9">
    <w:name w:val="Balloon Text"/>
    <w:basedOn w:val="a"/>
    <w:link w:val="aa"/>
    <w:qFormat/>
    <w:rsid w:val="00E060B0"/>
    <w:rPr>
      <w:sz w:val="18"/>
      <w:szCs w:val="18"/>
    </w:rPr>
  </w:style>
  <w:style w:type="paragraph" w:styleId="ab">
    <w:name w:val="footer"/>
    <w:basedOn w:val="a"/>
    <w:qFormat/>
    <w:rsid w:val="00E060B0"/>
    <w:pPr>
      <w:tabs>
        <w:tab w:val="center" w:pos="4153"/>
        <w:tab w:val="right" w:pos="8306"/>
      </w:tabs>
      <w:snapToGrid w:val="0"/>
      <w:jc w:val="left"/>
    </w:pPr>
    <w:rPr>
      <w:sz w:val="18"/>
    </w:rPr>
  </w:style>
  <w:style w:type="paragraph" w:styleId="ac">
    <w:name w:val="header"/>
    <w:basedOn w:val="a"/>
    <w:qFormat/>
    <w:rsid w:val="00E060B0"/>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d">
    <w:name w:val="Subtitle"/>
    <w:basedOn w:val="a"/>
    <w:next w:val="a"/>
    <w:uiPriority w:val="99"/>
    <w:qFormat/>
    <w:rsid w:val="00E060B0"/>
    <w:pPr>
      <w:spacing w:before="240" w:after="60" w:line="312" w:lineRule="auto"/>
      <w:jc w:val="center"/>
      <w:outlineLvl w:val="1"/>
    </w:pPr>
    <w:rPr>
      <w:rFonts w:ascii="Cambria" w:hAnsi="Cambria"/>
      <w:b/>
      <w:bCs/>
      <w:kern w:val="28"/>
      <w:sz w:val="32"/>
      <w:szCs w:val="32"/>
    </w:rPr>
  </w:style>
  <w:style w:type="paragraph" w:styleId="ae">
    <w:name w:val="footnote text"/>
    <w:basedOn w:val="a"/>
    <w:qFormat/>
    <w:rsid w:val="00E060B0"/>
    <w:pPr>
      <w:snapToGrid w:val="0"/>
      <w:jc w:val="left"/>
    </w:pPr>
    <w:rPr>
      <w:sz w:val="18"/>
    </w:rPr>
  </w:style>
  <w:style w:type="paragraph" w:styleId="af">
    <w:name w:val="Normal (Web)"/>
    <w:basedOn w:val="a"/>
    <w:qFormat/>
    <w:rsid w:val="00E060B0"/>
    <w:pPr>
      <w:spacing w:before="100" w:beforeAutospacing="1" w:after="100" w:afterAutospacing="1"/>
      <w:jc w:val="left"/>
    </w:pPr>
    <w:rPr>
      <w:kern w:val="0"/>
      <w:sz w:val="24"/>
    </w:rPr>
  </w:style>
  <w:style w:type="character" w:styleId="af0">
    <w:name w:val="Strong"/>
    <w:basedOn w:val="a0"/>
    <w:qFormat/>
    <w:rsid w:val="00E060B0"/>
    <w:rPr>
      <w:b/>
    </w:rPr>
  </w:style>
  <w:style w:type="character" w:styleId="af1">
    <w:name w:val="annotation reference"/>
    <w:basedOn w:val="a0"/>
    <w:qFormat/>
    <w:rsid w:val="00E060B0"/>
    <w:rPr>
      <w:sz w:val="21"/>
      <w:szCs w:val="21"/>
    </w:rPr>
  </w:style>
  <w:style w:type="character" w:styleId="af2">
    <w:name w:val="footnote reference"/>
    <w:basedOn w:val="a0"/>
    <w:qFormat/>
    <w:rsid w:val="00E060B0"/>
    <w:rPr>
      <w:vertAlign w:val="superscript"/>
    </w:rPr>
  </w:style>
  <w:style w:type="table" w:styleId="af3">
    <w:name w:val="Table Grid"/>
    <w:basedOn w:val="a1"/>
    <w:qFormat/>
    <w:rsid w:val="00E060B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E060B0"/>
    <w:pPr>
      <w:ind w:firstLineChars="200" w:firstLine="420"/>
    </w:pPr>
  </w:style>
  <w:style w:type="character" w:customStyle="1" w:styleId="aa">
    <w:name w:val="批注框文本字符"/>
    <w:basedOn w:val="a0"/>
    <w:link w:val="a9"/>
    <w:qFormat/>
    <w:rsid w:val="00E060B0"/>
    <w:rPr>
      <w:rFonts w:ascii="Calibri" w:hAnsi="Calibri"/>
      <w:kern w:val="2"/>
      <w:sz w:val="18"/>
      <w:szCs w:val="18"/>
    </w:rPr>
  </w:style>
  <w:style w:type="character" w:customStyle="1" w:styleId="a8">
    <w:name w:val="正文文本字符"/>
    <w:basedOn w:val="a0"/>
    <w:link w:val="a7"/>
    <w:qFormat/>
    <w:rsid w:val="00E060B0"/>
    <w:rPr>
      <w:rFonts w:ascii="宋体" w:eastAsia="仿宋_GB2312" w:hAnsi="宋体"/>
      <w:spacing w:val="-2"/>
      <w:kern w:val="2"/>
      <w:sz w:val="32"/>
      <w:szCs w:val="24"/>
    </w:rPr>
  </w:style>
  <w:style w:type="character" w:customStyle="1" w:styleId="a6">
    <w:name w:val="注释文本字符"/>
    <w:basedOn w:val="a0"/>
    <w:link w:val="a4"/>
    <w:uiPriority w:val="99"/>
    <w:qFormat/>
    <w:rsid w:val="00E060B0"/>
    <w:rPr>
      <w:rFonts w:ascii="Calibri" w:hAnsi="Calibri"/>
      <w:kern w:val="2"/>
      <w:sz w:val="21"/>
      <w:szCs w:val="22"/>
    </w:rPr>
  </w:style>
  <w:style w:type="character" w:customStyle="1" w:styleId="a5">
    <w:name w:val="批注主题字符"/>
    <w:basedOn w:val="a6"/>
    <w:link w:val="a3"/>
    <w:qFormat/>
    <w:rsid w:val="00E060B0"/>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481</Words>
  <Characters>2746</Characters>
  <Application>Microsoft Macintosh Word</Application>
  <DocSecurity>0</DocSecurity>
  <Lines>22</Lines>
  <Paragraphs>6</Paragraphs>
  <ScaleCrop>false</ScaleCrop>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王岭燕</cp:lastModifiedBy>
  <cp:revision>2</cp:revision>
  <cp:lastPrinted>2020-07-10T06:33:00Z</cp:lastPrinted>
  <dcterms:created xsi:type="dcterms:W3CDTF">2020-07-15T02:57:00Z</dcterms:created>
  <dcterms:modified xsi:type="dcterms:W3CDTF">2020-07-15T02:57:00Z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2052-10.1.0.7398</vt:lpwstr>
  </property>
</Properties>
</file>