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717FF">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国家税务总局汕尾市税务局</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汕尾市住房和城乡建设局关于发布汕尾市土地增值税扣除项目金额标准（</w:t>
      </w:r>
      <w:r>
        <w:rPr>
          <w:rFonts w:ascii="方正小标宋简体" w:eastAsia="方正小标宋简体" w:hAnsi="方正小标宋简体" w:cs="方正小标宋简体" w:hint="eastAsia"/>
          <w:sz w:val="44"/>
          <w:szCs w:val="44"/>
        </w:rPr>
        <w:t>2008-2018</w:t>
      </w:r>
      <w:r>
        <w:rPr>
          <w:rFonts w:ascii="方正小标宋简体" w:eastAsia="方正小标宋简体" w:hAnsi="方正小标宋简体" w:cs="方正小标宋简体" w:hint="eastAsia"/>
          <w:sz w:val="44"/>
          <w:szCs w:val="44"/>
        </w:rPr>
        <w:t>年）的公告</w:t>
      </w:r>
    </w:p>
    <w:p w:rsidR="00000000" w:rsidRDefault="002717FF">
      <w:pPr>
        <w:spacing w:line="56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（征求意见稿）</w:t>
      </w:r>
      <w:bookmarkEnd w:id="0"/>
    </w:p>
    <w:p w:rsidR="00000000" w:rsidRDefault="002717FF">
      <w:pPr>
        <w:spacing w:line="560" w:lineRule="exact"/>
        <w:jc w:val="both"/>
        <w:rPr>
          <w:rFonts w:ascii="仿宋_GB2312" w:eastAsia="仿宋_GB2312" w:hAnsi="仿宋_GB2312" w:cs="仿宋_GB2312" w:hint="eastAsia"/>
          <w:sz w:val="32"/>
          <w:szCs w:val="32"/>
        </w:rPr>
      </w:pPr>
    </w:p>
    <w:p w:rsidR="00000000" w:rsidRDefault="002717FF">
      <w:pPr>
        <w:pStyle w:val="a5"/>
        <w:spacing w:line="560" w:lineRule="exact"/>
        <w:jc w:val="both"/>
        <w:rPr>
          <w:rFonts w:ascii="仿宋" w:eastAsia="仿宋" w:hAnsi="仿宋" w:cs="仿宋" w:hint="eastAsia"/>
          <w:sz w:val="32"/>
          <w:szCs w:val="32"/>
        </w:rPr>
      </w:pPr>
      <w:r>
        <w:rPr>
          <w:rFonts w:ascii="仿宋_GB2312" w:eastAsia="仿宋_GB2312" w:hAnsi="仿宋_GB2312" w:cs="仿宋_GB2312" w:hint="eastAsia"/>
          <w:sz w:val="32"/>
          <w:szCs w:val="32"/>
        </w:rPr>
        <w:t xml:space="preserve">    </w:t>
      </w:r>
      <w:r>
        <w:rPr>
          <w:rFonts w:ascii="仿宋" w:eastAsia="仿宋" w:hAnsi="仿宋" w:cs="仿宋" w:hint="eastAsia"/>
          <w:sz w:val="32"/>
          <w:szCs w:val="32"/>
        </w:rPr>
        <w:t>为进一步做好我市土地增值税清算管理工作，促进我市房地产业持续健康发展，根据《中华人民共和国税收征收管理法》及其实施细则、《国家税务总局</w:t>
      </w:r>
      <w:r>
        <w:rPr>
          <w:rFonts w:ascii="仿宋" w:eastAsia="仿宋" w:hAnsi="仿宋" w:cs="仿宋" w:hint="eastAsia"/>
          <w:sz w:val="32"/>
          <w:szCs w:val="32"/>
        </w:rPr>
        <w:t xml:space="preserve"> </w:t>
      </w:r>
      <w:r>
        <w:rPr>
          <w:rFonts w:ascii="仿宋" w:eastAsia="仿宋" w:hAnsi="仿宋" w:cs="仿宋" w:hint="eastAsia"/>
          <w:sz w:val="32"/>
          <w:szCs w:val="32"/>
        </w:rPr>
        <w:t>建设部关于土地增值税征收管理有关问题的通知》（国税发〔</w:t>
      </w:r>
      <w:r>
        <w:rPr>
          <w:rFonts w:ascii="仿宋" w:eastAsia="仿宋" w:hAnsi="仿宋" w:cs="仿宋" w:hint="eastAsia"/>
          <w:sz w:val="32"/>
          <w:szCs w:val="32"/>
        </w:rPr>
        <w:t>1996</w:t>
      </w:r>
      <w:r>
        <w:rPr>
          <w:rFonts w:ascii="仿宋" w:eastAsia="仿宋" w:hAnsi="仿宋" w:cs="仿宋" w:hint="eastAsia"/>
          <w:sz w:val="32"/>
          <w:szCs w:val="32"/>
        </w:rPr>
        <w:t>〕</w:t>
      </w:r>
      <w:r>
        <w:rPr>
          <w:rFonts w:ascii="仿宋" w:eastAsia="仿宋" w:hAnsi="仿宋" w:cs="仿宋" w:hint="eastAsia"/>
          <w:sz w:val="32"/>
          <w:szCs w:val="32"/>
        </w:rPr>
        <w:t>48</w:t>
      </w:r>
      <w:r>
        <w:rPr>
          <w:rFonts w:ascii="仿宋" w:eastAsia="仿宋" w:hAnsi="仿宋" w:cs="仿宋" w:hint="eastAsia"/>
          <w:sz w:val="32"/>
          <w:szCs w:val="32"/>
        </w:rPr>
        <w:t>号）、《国家税务总局广东省税务局关于发布</w:t>
      </w:r>
      <w:r>
        <w:rPr>
          <w:rFonts w:ascii="仿宋" w:eastAsia="仿宋" w:hAnsi="仿宋" w:cs="仿宋" w:hint="eastAsia"/>
          <w:sz w:val="32"/>
          <w:szCs w:val="32"/>
        </w:rPr>
        <w:t>&lt;</w:t>
      </w:r>
      <w:r>
        <w:rPr>
          <w:rFonts w:ascii="仿宋" w:eastAsia="仿宋" w:hAnsi="仿宋" w:cs="仿宋" w:hint="eastAsia"/>
          <w:sz w:val="32"/>
          <w:szCs w:val="32"/>
        </w:rPr>
        <w:t>国家税务总局广东省税务局土地增值税清算管理规程</w:t>
      </w:r>
      <w:r>
        <w:rPr>
          <w:rFonts w:ascii="仿宋" w:eastAsia="仿宋" w:hAnsi="仿宋" w:cs="仿宋" w:hint="eastAsia"/>
          <w:sz w:val="32"/>
          <w:szCs w:val="32"/>
        </w:rPr>
        <w:t>&gt;</w:t>
      </w:r>
      <w:r>
        <w:rPr>
          <w:rFonts w:ascii="仿宋" w:eastAsia="仿宋" w:hAnsi="仿宋" w:cs="仿宋" w:hint="eastAsia"/>
          <w:sz w:val="32"/>
          <w:szCs w:val="32"/>
        </w:rPr>
        <w:t>的公告》（国家税务总局广东省税务局公告</w:t>
      </w:r>
      <w:r>
        <w:rPr>
          <w:rFonts w:ascii="仿宋" w:eastAsia="仿宋" w:hAnsi="仿宋" w:cs="仿宋" w:hint="eastAsia"/>
          <w:sz w:val="32"/>
          <w:szCs w:val="32"/>
        </w:rPr>
        <w:t>2019</w:t>
      </w:r>
      <w:r>
        <w:rPr>
          <w:rFonts w:ascii="仿宋" w:eastAsia="仿宋" w:hAnsi="仿宋" w:cs="仿宋" w:hint="eastAsia"/>
          <w:sz w:val="32"/>
          <w:szCs w:val="32"/>
        </w:rPr>
        <w:t>年第</w:t>
      </w:r>
      <w:r>
        <w:rPr>
          <w:rFonts w:ascii="仿宋" w:eastAsia="仿宋" w:hAnsi="仿宋" w:cs="仿宋" w:hint="eastAsia"/>
          <w:sz w:val="32"/>
          <w:szCs w:val="32"/>
        </w:rPr>
        <w:t>5</w:t>
      </w:r>
      <w:r>
        <w:rPr>
          <w:rFonts w:ascii="仿宋" w:eastAsia="仿宋" w:hAnsi="仿宋" w:cs="仿宋" w:hint="eastAsia"/>
          <w:sz w:val="32"/>
          <w:szCs w:val="32"/>
        </w:rPr>
        <w:t>号</w:t>
      </w:r>
      <w:r>
        <w:rPr>
          <w:rFonts w:ascii="仿宋" w:eastAsia="仿宋" w:hAnsi="仿宋" w:cs="仿宋" w:hint="eastAsia"/>
          <w:sz w:val="32"/>
          <w:szCs w:val="32"/>
        </w:rPr>
        <w:t>，以下简称《省局规</w:t>
      </w:r>
      <w:r>
        <w:rPr>
          <w:rFonts w:ascii="仿宋" w:eastAsia="仿宋" w:hAnsi="仿宋" w:cs="仿宋" w:hint="eastAsia"/>
          <w:sz w:val="32"/>
          <w:szCs w:val="32"/>
        </w:rPr>
        <w:t>程》</w:t>
      </w:r>
      <w:r>
        <w:rPr>
          <w:rFonts w:ascii="仿宋" w:eastAsia="仿宋" w:hAnsi="仿宋" w:cs="仿宋" w:hint="eastAsia"/>
          <w:sz w:val="32"/>
          <w:szCs w:val="32"/>
        </w:rPr>
        <w:t>）等有关规定</w:t>
      </w:r>
      <w:r>
        <w:rPr>
          <w:rFonts w:ascii="仿宋" w:eastAsia="仿宋" w:hAnsi="仿宋" w:cs="仿宋" w:hint="eastAsia"/>
          <w:sz w:val="32"/>
          <w:szCs w:val="32"/>
        </w:rPr>
        <w:t>,</w:t>
      </w:r>
      <w:r>
        <w:rPr>
          <w:rFonts w:ascii="仿宋" w:eastAsia="仿宋" w:hAnsi="仿宋" w:cs="仿宋" w:hint="eastAsia"/>
          <w:sz w:val="32"/>
          <w:szCs w:val="32"/>
        </w:rPr>
        <w:t>国家税务总局</w:t>
      </w:r>
      <w:r>
        <w:rPr>
          <w:rFonts w:ascii="仿宋" w:eastAsia="仿宋" w:hAnsi="仿宋" w:cs="仿宋" w:hint="eastAsia"/>
          <w:sz w:val="32"/>
          <w:szCs w:val="32"/>
        </w:rPr>
        <w:t>汕尾</w:t>
      </w:r>
      <w:r>
        <w:rPr>
          <w:rFonts w:ascii="仿宋" w:eastAsia="仿宋" w:hAnsi="仿宋" w:cs="仿宋" w:hint="eastAsia"/>
          <w:sz w:val="32"/>
          <w:szCs w:val="32"/>
        </w:rPr>
        <w:t>市税务局</w:t>
      </w:r>
      <w:r>
        <w:rPr>
          <w:rFonts w:ascii="仿宋" w:eastAsia="仿宋" w:hAnsi="仿宋" w:cs="仿宋" w:hint="eastAsia"/>
          <w:sz w:val="32"/>
          <w:szCs w:val="32"/>
        </w:rPr>
        <w:t>组织编制了</w:t>
      </w:r>
      <w:r>
        <w:rPr>
          <w:rFonts w:ascii="仿宋" w:eastAsia="仿宋" w:hAnsi="仿宋" w:cs="仿宋" w:hint="eastAsia"/>
          <w:sz w:val="32"/>
          <w:szCs w:val="32"/>
        </w:rPr>
        <w:t>《</w:t>
      </w:r>
      <w:r>
        <w:rPr>
          <w:rFonts w:ascii="仿宋" w:eastAsia="仿宋" w:hAnsi="仿宋" w:cs="仿宋" w:hint="eastAsia"/>
          <w:sz w:val="32"/>
          <w:szCs w:val="32"/>
        </w:rPr>
        <w:t>汕尾</w:t>
      </w:r>
      <w:r>
        <w:rPr>
          <w:rFonts w:ascii="仿宋" w:eastAsia="仿宋" w:hAnsi="仿宋" w:cs="仿宋" w:hint="eastAsia"/>
          <w:sz w:val="32"/>
          <w:szCs w:val="32"/>
        </w:rPr>
        <w:t>市土地增值税扣除项目金额标准</w:t>
      </w:r>
      <w:r>
        <w:rPr>
          <w:rFonts w:ascii="仿宋" w:eastAsia="仿宋" w:hAnsi="仿宋" w:cs="仿宋" w:hint="eastAsia"/>
          <w:sz w:val="32"/>
          <w:szCs w:val="32"/>
        </w:rPr>
        <w:t>（</w:t>
      </w:r>
      <w:r>
        <w:rPr>
          <w:rFonts w:ascii="仿宋" w:eastAsia="仿宋" w:hAnsi="仿宋" w:cs="仿宋" w:hint="eastAsia"/>
          <w:sz w:val="32"/>
          <w:szCs w:val="32"/>
        </w:rPr>
        <w:t>2008-2018</w:t>
      </w:r>
      <w:r>
        <w:rPr>
          <w:rFonts w:ascii="仿宋" w:eastAsia="仿宋" w:hAnsi="仿宋" w:cs="仿宋" w:hint="eastAsia"/>
          <w:sz w:val="32"/>
          <w:szCs w:val="32"/>
        </w:rPr>
        <w:t>年）</w:t>
      </w:r>
      <w:r>
        <w:rPr>
          <w:rFonts w:ascii="仿宋" w:eastAsia="仿宋" w:hAnsi="仿宋" w:cs="仿宋" w:hint="eastAsia"/>
          <w:sz w:val="32"/>
          <w:szCs w:val="32"/>
        </w:rPr>
        <w:t>》（以下简称《标准》）</w:t>
      </w:r>
      <w:r>
        <w:rPr>
          <w:rFonts w:ascii="仿宋" w:eastAsia="仿宋" w:hAnsi="仿宋" w:cs="仿宋" w:hint="eastAsia"/>
          <w:sz w:val="32"/>
          <w:szCs w:val="32"/>
        </w:rPr>
        <w:t>，</w:t>
      </w:r>
      <w:r>
        <w:rPr>
          <w:rFonts w:ascii="仿宋" w:eastAsia="仿宋" w:hAnsi="仿宋" w:cs="仿宋" w:hint="eastAsia"/>
          <w:sz w:val="32"/>
          <w:szCs w:val="32"/>
        </w:rPr>
        <w:t>联合</w:t>
      </w:r>
      <w:r>
        <w:rPr>
          <w:rFonts w:ascii="仿宋" w:eastAsia="仿宋" w:hAnsi="仿宋" w:cs="仿宋" w:hint="eastAsia"/>
          <w:sz w:val="32"/>
          <w:szCs w:val="32"/>
        </w:rPr>
        <w:t>汕尾</w:t>
      </w:r>
      <w:r>
        <w:rPr>
          <w:rFonts w:ascii="仿宋" w:eastAsia="仿宋" w:hAnsi="仿宋" w:cs="仿宋" w:hint="eastAsia"/>
          <w:sz w:val="32"/>
          <w:szCs w:val="32"/>
        </w:rPr>
        <w:t>市住房和城乡建设局</w:t>
      </w:r>
      <w:r>
        <w:rPr>
          <w:rFonts w:ascii="仿宋" w:eastAsia="仿宋" w:hAnsi="仿宋" w:cs="仿宋" w:hint="eastAsia"/>
          <w:sz w:val="32"/>
          <w:szCs w:val="32"/>
        </w:rPr>
        <w:t>进行</w:t>
      </w:r>
      <w:r>
        <w:rPr>
          <w:rFonts w:ascii="仿宋" w:eastAsia="仿宋" w:hAnsi="仿宋" w:cs="仿宋" w:hint="eastAsia"/>
          <w:sz w:val="32"/>
          <w:szCs w:val="32"/>
        </w:rPr>
        <w:t>发布。现将</w:t>
      </w:r>
      <w:r>
        <w:rPr>
          <w:rFonts w:ascii="仿宋" w:eastAsia="仿宋" w:hAnsi="仿宋" w:cs="仿宋" w:hint="eastAsia"/>
          <w:sz w:val="32"/>
          <w:szCs w:val="32"/>
        </w:rPr>
        <w:t>有</w:t>
      </w:r>
      <w:r>
        <w:rPr>
          <w:rFonts w:ascii="仿宋" w:eastAsia="仿宋" w:hAnsi="仿宋" w:cs="仿宋" w:hint="eastAsia"/>
          <w:sz w:val="32"/>
          <w:szCs w:val="32"/>
        </w:rPr>
        <w:t>关事项公告如下：</w:t>
      </w:r>
    </w:p>
    <w:p w:rsidR="00000000" w:rsidRDefault="002717FF">
      <w:pPr>
        <w:pStyle w:val="a5"/>
        <w:spacing w:line="560" w:lineRule="exact"/>
        <w:ind w:firstLine="420"/>
        <w:jc w:val="both"/>
        <w:rPr>
          <w:rFonts w:ascii="黑体" w:eastAsia="黑体" w:hAnsi="黑体" w:cs="黑体" w:hint="eastAsia"/>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一、适用范围</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在土地增值税清算过程中，纳税人符合《</w:t>
      </w:r>
      <w:r>
        <w:rPr>
          <w:rFonts w:ascii="仿宋" w:eastAsia="仿宋" w:hAnsi="仿宋" w:cs="仿宋" w:hint="eastAsia"/>
          <w:sz w:val="32"/>
          <w:szCs w:val="32"/>
        </w:rPr>
        <w:t>省局规程</w:t>
      </w:r>
      <w:r>
        <w:rPr>
          <w:rFonts w:ascii="仿宋" w:eastAsia="仿宋" w:hAnsi="仿宋" w:cs="仿宋" w:hint="eastAsia"/>
          <w:sz w:val="32"/>
          <w:szCs w:val="32"/>
        </w:rPr>
        <w:t>》第</w:t>
      </w:r>
      <w:r>
        <w:rPr>
          <w:rFonts w:ascii="仿宋" w:eastAsia="仿宋" w:hAnsi="仿宋" w:cs="仿宋" w:hint="eastAsia"/>
          <w:sz w:val="32"/>
          <w:szCs w:val="32"/>
        </w:rPr>
        <w:t>二十七</w:t>
      </w:r>
      <w:r>
        <w:rPr>
          <w:rFonts w:ascii="仿宋" w:eastAsia="仿宋" w:hAnsi="仿宋" w:cs="仿宋" w:hint="eastAsia"/>
          <w:sz w:val="32"/>
          <w:szCs w:val="32"/>
        </w:rPr>
        <w:t>条</w:t>
      </w:r>
      <w:r>
        <w:rPr>
          <w:rFonts w:ascii="仿宋" w:eastAsia="仿宋" w:hAnsi="仿宋" w:cs="仿宋" w:hint="eastAsia"/>
          <w:sz w:val="32"/>
          <w:szCs w:val="32"/>
        </w:rPr>
        <w:t>、第四十条规定情形之一的，</w:t>
      </w:r>
      <w:r>
        <w:rPr>
          <w:rFonts w:ascii="仿宋" w:eastAsia="仿宋" w:hAnsi="仿宋" w:cs="仿宋" w:hint="eastAsia"/>
          <w:sz w:val="32"/>
          <w:szCs w:val="32"/>
        </w:rPr>
        <w:t>税务机关通过适用《标准》测算其“土建、安装、装饰装修、市政设施、园林绿化”工程造价，核定纳税人应纳税额。</w:t>
      </w:r>
    </w:p>
    <w:p w:rsidR="00000000" w:rsidRDefault="002717FF">
      <w:pPr>
        <w:pStyle w:val="a5"/>
        <w:spacing w:line="560" w:lineRule="exact"/>
        <w:ind w:firstLine="420"/>
        <w:jc w:val="both"/>
        <w:rPr>
          <w:rFonts w:ascii="黑体" w:eastAsia="黑体" w:hAnsi="黑体" w:cs="黑体" w:hint="eastAsia"/>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二、适用时间</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税务机关通过《标准》测算“土建、安装、装饰装修、市政设施、园林绿化”工程造价时，适用房产工程开</w:t>
      </w:r>
      <w:r>
        <w:rPr>
          <w:rFonts w:ascii="仿宋" w:eastAsia="仿宋" w:hAnsi="仿宋" w:cs="仿宋" w:hint="eastAsia"/>
          <w:sz w:val="32"/>
          <w:szCs w:val="32"/>
        </w:rPr>
        <w:t>工至竣工期间所对应年度的《标准》数值</w:t>
      </w:r>
      <w:r>
        <w:rPr>
          <w:rFonts w:ascii="仿宋" w:eastAsia="仿宋" w:hAnsi="仿宋" w:cs="仿宋" w:hint="eastAsia"/>
          <w:sz w:val="32"/>
          <w:szCs w:val="32"/>
        </w:rPr>
        <w:t>；</w:t>
      </w:r>
      <w:r>
        <w:rPr>
          <w:rFonts w:ascii="仿宋" w:eastAsia="仿宋" w:hAnsi="仿宋" w:cs="仿宋" w:hint="eastAsia"/>
          <w:sz w:val="32"/>
          <w:szCs w:val="32"/>
        </w:rPr>
        <w:t>如房产工程开工至竣工期间跨多个年度的，适用所跨年度《标准》数值的加权平均值。</w:t>
      </w:r>
    </w:p>
    <w:p w:rsidR="00000000" w:rsidRDefault="002717FF">
      <w:pPr>
        <w:pStyle w:val="a5"/>
        <w:spacing w:line="560" w:lineRule="exact"/>
        <w:ind w:firstLine="420"/>
        <w:jc w:val="both"/>
        <w:rPr>
          <w:rFonts w:ascii="仿宋" w:eastAsia="仿宋" w:hAnsi="仿宋" w:cs="仿宋" w:hint="eastAsia"/>
          <w:bCs/>
          <w:sz w:val="32"/>
          <w:szCs w:val="32"/>
        </w:rPr>
      </w:pPr>
      <w:r>
        <w:rPr>
          <w:rFonts w:ascii="仿宋" w:eastAsia="仿宋" w:hAnsi="仿宋" w:cs="仿宋" w:hint="eastAsia"/>
          <w:bCs/>
          <w:sz w:val="32"/>
          <w:szCs w:val="32"/>
        </w:rPr>
        <w:t xml:space="preserve"> </w:t>
      </w:r>
      <w:r>
        <w:rPr>
          <w:rFonts w:ascii="黑体" w:eastAsia="黑体" w:hAnsi="黑体" w:cs="黑体" w:hint="eastAsia"/>
          <w:bCs/>
          <w:sz w:val="32"/>
          <w:szCs w:val="32"/>
        </w:rPr>
        <w:t>三、争议解决机制</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纳税人对税务机关按照《标准》核定应纳税额有异议的，应当提供相关证据材料，经税务机关认定后，予以调整。上述相关证据材料包括但不限于工程施工图、竣工图、工程量清单、材料苗木清单（总平面乔灌木配置图）等。</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黑体" w:eastAsia="黑体" w:hAnsi="黑体" w:cs="黑体" w:hint="eastAsia"/>
          <w:bCs/>
          <w:sz w:val="32"/>
          <w:szCs w:val="32"/>
        </w:rPr>
        <w:t>四、《标准》的数据更新</w:t>
      </w:r>
    </w:p>
    <w:p w:rsidR="00000000" w:rsidRDefault="002717FF">
      <w:pPr>
        <w:pStyle w:val="a5"/>
        <w:wordWrap w:val="0"/>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我市</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w:t>
      </w:r>
      <w:r>
        <w:rPr>
          <w:rFonts w:ascii="仿宋" w:eastAsia="仿宋" w:hAnsi="仿宋" w:cs="仿宋" w:hint="eastAsia"/>
          <w:sz w:val="32"/>
          <w:szCs w:val="32"/>
        </w:rPr>
        <w:t>及以后年度的</w:t>
      </w:r>
      <w:r>
        <w:rPr>
          <w:rFonts w:ascii="仿宋" w:eastAsia="仿宋" w:hAnsi="仿宋" w:cs="仿宋" w:hint="eastAsia"/>
          <w:sz w:val="32"/>
          <w:szCs w:val="32"/>
        </w:rPr>
        <w:t>土地增值税扣除项目金额标准，</w:t>
      </w:r>
      <w:r>
        <w:rPr>
          <w:rFonts w:ascii="仿宋" w:eastAsia="仿宋" w:hAnsi="仿宋" w:cs="仿宋" w:hint="eastAsia"/>
          <w:sz w:val="32"/>
          <w:szCs w:val="32"/>
        </w:rPr>
        <w:t>将参照广东省计价依据和汕尾市计价文件、价格信息及相关参考指标，结合行业内专家意见和市场状况制</w:t>
      </w:r>
      <w:r>
        <w:rPr>
          <w:rFonts w:ascii="仿宋" w:eastAsia="仿宋" w:hAnsi="仿宋" w:cs="仿宋" w:hint="eastAsia"/>
          <w:sz w:val="32"/>
          <w:szCs w:val="32"/>
        </w:rPr>
        <w:t>定，</w:t>
      </w:r>
      <w:r>
        <w:rPr>
          <w:rFonts w:ascii="仿宋" w:eastAsia="仿宋" w:hAnsi="仿宋" w:cs="仿宋" w:hint="eastAsia"/>
          <w:sz w:val="32"/>
          <w:szCs w:val="32"/>
        </w:rPr>
        <w:t>由国家税务总局</w:t>
      </w:r>
      <w:r>
        <w:rPr>
          <w:rFonts w:ascii="仿宋" w:eastAsia="仿宋" w:hAnsi="仿宋" w:cs="仿宋" w:hint="eastAsia"/>
          <w:sz w:val="32"/>
          <w:szCs w:val="32"/>
        </w:rPr>
        <w:t>汕尾</w:t>
      </w:r>
      <w:r>
        <w:rPr>
          <w:rFonts w:ascii="仿宋" w:eastAsia="仿宋" w:hAnsi="仿宋" w:cs="仿宋" w:hint="eastAsia"/>
          <w:sz w:val="32"/>
          <w:szCs w:val="32"/>
        </w:rPr>
        <w:t>市税务局、</w:t>
      </w:r>
      <w:r>
        <w:rPr>
          <w:rFonts w:ascii="仿宋" w:eastAsia="仿宋" w:hAnsi="仿宋" w:cs="仿宋" w:hint="eastAsia"/>
          <w:sz w:val="32"/>
          <w:szCs w:val="32"/>
        </w:rPr>
        <w:t>汕尾</w:t>
      </w:r>
      <w:r>
        <w:rPr>
          <w:rFonts w:ascii="仿宋" w:eastAsia="仿宋" w:hAnsi="仿宋" w:cs="仿宋" w:hint="eastAsia"/>
          <w:sz w:val="32"/>
          <w:szCs w:val="32"/>
        </w:rPr>
        <w:t>市住房和城乡建设局</w:t>
      </w:r>
      <w:r>
        <w:rPr>
          <w:rFonts w:ascii="仿宋" w:eastAsia="仿宋" w:hAnsi="仿宋" w:cs="仿宋" w:hint="eastAsia"/>
          <w:sz w:val="32"/>
          <w:szCs w:val="32"/>
        </w:rPr>
        <w:t>予以动态</w:t>
      </w:r>
      <w:r>
        <w:rPr>
          <w:rFonts w:ascii="仿宋" w:eastAsia="仿宋" w:hAnsi="仿宋" w:cs="仿宋" w:hint="eastAsia"/>
          <w:sz w:val="32"/>
          <w:szCs w:val="32"/>
        </w:rPr>
        <w:t>更新，在国家税务总局</w:t>
      </w:r>
      <w:r>
        <w:rPr>
          <w:rFonts w:ascii="仿宋" w:eastAsia="仿宋" w:hAnsi="仿宋" w:cs="仿宋" w:hint="eastAsia"/>
          <w:sz w:val="32"/>
          <w:szCs w:val="32"/>
        </w:rPr>
        <w:t>汕尾</w:t>
      </w:r>
      <w:r>
        <w:rPr>
          <w:rFonts w:ascii="仿宋" w:eastAsia="仿宋" w:hAnsi="仿宋" w:cs="仿宋" w:hint="eastAsia"/>
          <w:sz w:val="32"/>
          <w:szCs w:val="32"/>
        </w:rPr>
        <w:t>市税务局网站上</w:t>
      </w:r>
      <w:r>
        <w:rPr>
          <w:rFonts w:eastAsia="仿宋" w:hint="eastAsia"/>
          <w:sz w:val="32"/>
          <w:szCs w:val="32"/>
        </w:rPr>
        <w:t>（</w:t>
      </w:r>
      <w:r>
        <w:rPr>
          <w:rFonts w:eastAsia="仿宋"/>
          <w:sz w:val="32"/>
          <w:szCs w:val="32"/>
        </w:rPr>
        <w:t>http://guangdong.chinatax.gov.cn/gdsw/swsw/swsw_index/shtml</w:t>
      </w:r>
      <w:r>
        <w:rPr>
          <w:rFonts w:eastAsia="仿宋" w:hint="eastAsia"/>
          <w:sz w:val="32"/>
          <w:szCs w:val="32"/>
        </w:rPr>
        <w:t>）</w:t>
      </w:r>
      <w:r>
        <w:rPr>
          <w:rFonts w:ascii="仿宋" w:eastAsia="仿宋" w:hAnsi="仿宋" w:cs="仿宋" w:hint="eastAsia"/>
          <w:sz w:val="32"/>
          <w:szCs w:val="32"/>
        </w:rPr>
        <w:t>适时公布。</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本公告自</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起</w:t>
      </w:r>
      <w:r>
        <w:rPr>
          <w:rFonts w:ascii="仿宋" w:eastAsia="仿宋" w:hAnsi="仿宋" w:cs="仿宋" w:hint="eastAsia"/>
          <w:sz w:val="32"/>
          <w:szCs w:val="32"/>
        </w:rPr>
        <w:t>施行。</w:t>
      </w:r>
      <w:r>
        <w:rPr>
          <w:rFonts w:ascii="仿宋" w:eastAsia="仿宋" w:hAnsi="仿宋" w:cs="仿宋" w:hint="eastAsia"/>
          <w:sz w:val="32"/>
          <w:szCs w:val="32"/>
        </w:rPr>
        <w:t>《国家税务总局汕尾市税务局</w:t>
      </w:r>
      <w:r>
        <w:rPr>
          <w:rFonts w:ascii="仿宋" w:eastAsia="仿宋" w:hAnsi="仿宋" w:cs="仿宋" w:hint="eastAsia"/>
          <w:sz w:val="32"/>
          <w:szCs w:val="32"/>
        </w:rPr>
        <w:t xml:space="preserve"> </w:t>
      </w:r>
      <w:r>
        <w:rPr>
          <w:rFonts w:ascii="仿宋" w:eastAsia="仿宋" w:hAnsi="仿宋" w:cs="仿宋" w:hint="eastAsia"/>
          <w:sz w:val="32"/>
          <w:szCs w:val="32"/>
        </w:rPr>
        <w:t>汕尾市住房和城乡建设局关于发布汕尾市</w:t>
      </w:r>
      <w:r>
        <w:rPr>
          <w:rFonts w:ascii="仿宋" w:eastAsia="仿宋" w:hAnsi="仿宋" w:cs="仿宋" w:hint="eastAsia"/>
          <w:sz w:val="32"/>
          <w:szCs w:val="32"/>
        </w:rPr>
        <w:t>2008-2016</w:t>
      </w:r>
      <w:r>
        <w:rPr>
          <w:rFonts w:ascii="仿宋" w:eastAsia="仿宋" w:hAnsi="仿宋" w:cs="仿宋" w:hint="eastAsia"/>
          <w:sz w:val="32"/>
          <w:szCs w:val="32"/>
        </w:rPr>
        <w:t>年土地增值税扣除项目金额标准的公告》（国家税务总局汕尾市税务局公告</w:t>
      </w:r>
      <w:r>
        <w:rPr>
          <w:rFonts w:ascii="仿宋" w:eastAsia="仿宋" w:hAnsi="仿宋" w:cs="仿宋" w:hint="eastAsia"/>
          <w:sz w:val="32"/>
          <w:szCs w:val="32"/>
        </w:rPr>
        <w:t>2019</w:t>
      </w:r>
      <w:r>
        <w:rPr>
          <w:rFonts w:ascii="仿宋" w:eastAsia="仿宋" w:hAnsi="仿宋" w:cs="仿宋" w:hint="eastAsia"/>
          <w:sz w:val="32"/>
          <w:szCs w:val="32"/>
        </w:rPr>
        <w:t>年第</w:t>
      </w:r>
      <w:r>
        <w:rPr>
          <w:rFonts w:ascii="仿宋" w:eastAsia="仿宋" w:hAnsi="仿宋" w:cs="仿宋" w:hint="eastAsia"/>
          <w:sz w:val="32"/>
          <w:szCs w:val="32"/>
        </w:rPr>
        <w:t>2</w:t>
      </w:r>
      <w:r>
        <w:rPr>
          <w:rFonts w:ascii="仿宋" w:eastAsia="仿宋" w:hAnsi="仿宋" w:cs="仿宋" w:hint="eastAsia"/>
          <w:sz w:val="32"/>
          <w:szCs w:val="32"/>
        </w:rPr>
        <w:t>号）同时废止。</w:t>
      </w:r>
    </w:p>
    <w:p w:rsidR="00000000" w:rsidRDefault="002717FF">
      <w:pPr>
        <w:pStyle w:val="a5"/>
        <w:spacing w:line="560" w:lineRule="exact"/>
        <w:ind w:firstLine="420"/>
        <w:jc w:val="both"/>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特此公告。</w:t>
      </w:r>
    </w:p>
    <w:p w:rsidR="00000000" w:rsidRDefault="002717FF">
      <w:pPr>
        <w:pStyle w:val="a5"/>
        <w:spacing w:line="560" w:lineRule="exact"/>
        <w:jc w:val="both"/>
        <w:rPr>
          <w:rFonts w:ascii="仿宋" w:eastAsia="仿宋" w:hAnsi="仿宋" w:cs="仿宋" w:hint="eastAsia"/>
          <w:sz w:val="32"/>
          <w:szCs w:val="32"/>
        </w:rPr>
      </w:pPr>
      <w:r>
        <w:rPr>
          <w:rFonts w:ascii="仿宋" w:eastAsia="仿宋" w:hAnsi="仿宋" w:cs="仿宋" w:hint="eastAsia"/>
          <w:sz w:val="32"/>
          <w:szCs w:val="32"/>
        </w:rPr>
        <w:t xml:space="preserve">   </w:t>
      </w:r>
    </w:p>
    <w:p w:rsidR="00000000" w:rsidRDefault="002717FF">
      <w:pPr>
        <w:pStyle w:val="a5"/>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附件：汕尾市土地增值税扣除项目金额标准（</w:t>
      </w:r>
      <w:r>
        <w:rPr>
          <w:rFonts w:ascii="仿宋" w:eastAsia="仿宋" w:hAnsi="仿宋" w:cs="仿宋" w:hint="eastAsia"/>
          <w:sz w:val="32"/>
          <w:szCs w:val="32"/>
        </w:rPr>
        <w:t>2008-2018</w:t>
      </w:r>
      <w:r>
        <w:rPr>
          <w:rFonts w:ascii="仿宋" w:eastAsia="仿宋" w:hAnsi="仿宋" w:cs="仿宋" w:hint="eastAsia"/>
          <w:sz w:val="32"/>
          <w:szCs w:val="32"/>
        </w:rPr>
        <w:t>年）</w:t>
      </w:r>
    </w:p>
    <w:p w:rsidR="00000000" w:rsidRDefault="002717FF">
      <w:pPr>
        <w:pStyle w:val="a5"/>
        <w:spacing w:line="560" w:lineRule="exact"/>
        <w:ind w:firstLine="420"/>
        <w:jc w:val="both"/>
        <w:rPr>
          <w:rFonts w:ascii="仿宋" w:eastAsia="仿宋" w:hAnsi="仿宋" w:cs="仿宋" w:hint="eastAsia"/>
          <w:sz w:val="32"/>
          <w:szCs w:val="32"/>
        </w:rPr>
      </w:pPr>
    </w:p>
    <w:p w:rsidR="00000000" w:rsidRDefault="002717FF">
      <w:pPr>
        <w:pStyle w:val="a5"/>
        <w:spacing w:line="560" w:lineRule="exact"/>
        <w:ind w:firstLine="420"/>
        <w:jc w:val="both"/>
        <w:rPr>
          <w:rFonts w:ascii="仿宋" w:eastAsia="仿宋" w:hAnsi="仿宋" w:cs="仿宋" w:hint="eastAsia"/>
          <w:sz w:val="32"/>
          <w:szCs w:val="32"/>
        </w:rPr>
      </w:pPr>
    </w:p>
    <w:p w:rsidR="00000000" w:rsidRDefault="002717FF">
      <w:pPr>
        <w:pStyle w:val="a5"/>
        <w:spacing w:line="560" w:lineRule="exact"/>
        <w:ind w:firstLine="420"/>
        <w:jc w:val="center"/>
        <w:rPr>
          <w:rFonts w:ascii="仿宋" w:eastAsia="仿宋" w:hAnsi="仿宋" w:cs="仿宋" w:hint="eastAsia"/>
          <w:sz w:val="32"/>
          <w:szCs w:val="32"/>
        </w:rPr>
      </w:pPr>
      <w:r>
        <w:rPr>
          <w:rFonts w:ascii="仿宋" w:eastAsia="仿宋" w:hAnsi="仿宋" w:cs="仿宋" w:hint="eastAsia"/>
          <w:sz w:val="32"/>
          <w:szCs w:val="32"/>
        </w:rPr>
        <w:t>国家税务总局</w:t>
      </w:r>
      <w:r>
        <w:rPr>
          <w:rFonts w:ascii="仿宋" w:eastAsia="仿宋" w:hAnsi="仿宋" w:cs="仿宋" w:hint="eastAsia"/>
          <w:sz w:val="32"/>
          <w:szCs w:val="32"/>
        </w:rPr>
        <w:t>汕尾</w:t>
      </w:r>
      <w:r>
        <w:rPr>
          <w:rFonts w:ascii="仿宋" w:eastAsia="仿宋" w:hAnsi="仿宋" w:cs="仿宋" w:hint="eastAsia"/>
          <w:sz w:val="32"/>
          <w:szCs w:val="32"/>
        </w:rPr>
        <w:t>市税务局</w:t>
      </w:r>
      <w:r>
        <w:rPr>
          <w:rFonts w:ascii="仿宋" w:eastAsia="仿宋" w:hAnsi="仿宋" w:cs="仿宋" w:hint="eastAsia"/>
          <w:sz w:val="32"/>
          <w:szCs w:val="32"/>
        </w:rPr>
        <w:t xml:space="preserve">     </w:t>
      </w:r>
      <w:r>
        <w:rPr>
          <w:rFonts w:ascii="仿宋" w:eastAsia="仿宋" w:hAnsi="仿宋" w:cs="仿宋" w:hint="eastAsia"/>
          <w:sz w:val="32"/>
          <w:szCs w:val="32"/>
        </w:rPr>
        <w:t>汕尾</w:t>
      </w:r>
      <w:r>
        <w:rPr>
          <w:rFonts w:ascii="仿宋" w:eastAsia="仿宋" w:hAnsi="仿宋" w:cs="仿宋" w:hint="eastAsia"/>
          <w:sz w:val="32"/>
          <w:szCs w:val="32"/>
        </w:rPr>
        <w:t>市住房和城乡建设局</w:t>
      </w:r>
    </w:p>
    <w:p w:rsidR="00000000" w:rsidRDefault="002717FF">
      <w:pPr>
        <w:pStyle w:val="a5"/>
        <w:spacing w:line="560" w:lineRule="exact"/>
        <w:ind w:firstLine="420"/>
        <w:jc w:val="center"/>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000000" w:rsidRDefault="002717FF">
      <w:pPr>
        <w:spacing w:line="560" w:lineRule="exact"/>
        <w:jc w:val="both"/>
        <w:rPr>
          <w:rFonts w:ascii="仿宋" w:eastAsia="仿宋" w:hAnsi="仿宋" w:cs="仿宋" w:hint="eastAsia"/>
          <w:sz w:val="32"/>
          <w:szCs w:val="32"/>
        </w:rPr>
      </w:pPr>
    </w:p>
    <w:sectPr w:rsidR="0000000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7FF">
      <w:r>
        <w:separator/>
      </w:r>
    </w:p>
  </w:endnote>
  <w:endnote w:type="continuationSeparator" w:id="0">
    <w:p w:rsidR="00000000" w:rsidRDefault="0027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方正小标宋简体">
    <w:altName w:val="Arial Unicode MS"/>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0000000" w:usb2="00000000" w:usb3="00000000" w:csb0="00040000" w:csb1="00000000"/>
  </w:font>
  <w:font w:name="仿宋">
    <w:altName w:val="Arial Unicode MS"/>
    <w:panose1 w:val="02010609060101010101"/>
    <w:charset w:val="86"/>
    <w:family w:val="auto"/>
    <w:pitch w:val="default"/>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17FF">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717F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" filled="f" stroked="f">
              <v:textbox style="mso-fit-shape-to-text:t" inset="0,0,0,0">
                <w:txbxContent>
                  <w:p w:rsidR="00000000" w:rsidRDefault="002717FF">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7FF">
      <w:r>
        <w:separator/>
      </w:r>
    </w:p>
  </w:footnote>
  <w:footnote w:type="continuationSeparator" w:id="0">
    <w:p w:rsidR="00000000" w:rsidRDefault="00271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17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FF"/>
    <w:rsid w:val="002717FF"/>
    <w:rsid w:val="03E04548"/>
    <w:rsid w:val="05F06613"/>
    <w:rsid w:val="0AEB449B"/>
    <w:rsid w:val="0C023D12"/>
    <w:rsid w:val="0F2546E5"/>
    <w:rsid w:val="0F403AD3"/>
    <w:rsid w:val="10642FC1"/>
    <w:rsid w:val="10814621"/>
    <w:rsid w:val="1165264B"/>
    <w:rsid w:val="14740A14"/>
    <w:rsid w:val="14A426E3"/>
    <w:rsid w:val="14D73499"/>
    <w:rsid w:val="14F528A3"/>
    <w:rsid w:val="15A12CA2"/>
    <w:rsid w:val="16533564"/>
    <w:rsid w:val="16666F5D"/>
    <w:rsid w:val="166E73DC"/>
    <w:rsid w:val="168075A6"/>
    <w:rsid w:val="17FF61CA"/>
    <w:rsid w:val="18872545"/>
    <w:rsid w:val="1A9478A9"/>
    <w:rsid w:val="1B397528"/>
    <w:rsid w:val="1E61032B"/>
    <w:rsid w:val="211274DE"/>
    <w:rsid w:val="24C03C07"/>
    <w:rsid w:val="2576748C"/>
    <w:rsid w:val="27ED7A99"/>
    <w:rsid w:val="28DE42B0"/>
    <w:rsid w:val="29051FF3"/>
    <w:rsid w:val="2905602F"/>
    <w:rsid w:val="29361DFC"/>
    <w:rsid w:val="2B290931"/>
    <w:rsid w:val="2B7417E0"/>
    <w:rsid w:val="2D4456E0"/>
    <w:rsid w:val="2ED91567"/>
    <w:rsid w:val="30DE6328"/>
    <w:rsid w:val="341744B0"/>
    <w:rsid w:val="345A52E6"/>
    <w:rsid w:val="351864B9"/>
    <w:rsid w:val="35331F15"/>
    <w:rsid w:val="380F71FC"/>
    <w:rsid w:val="3845137C"/>
    <w:rsid w:val="38F46876"/>
    <w:rsid w:val="39C23FBC"/>
    <w:rsid w:val="3A5E1F18"/>
    <w:rsid w:val="3B7C68DA"/>
    <w:rsid w:val="3F77665F"/>
    <w:rsid w:val="40CE75F9"/>
    <w:rsid w:val="418B4428"/>
    <w:rsid w:val="43ED38AC"/>
    <w:rsid w:val="44A76C70"/>
    <w:rsid w:val="45156BCE"/>
    <w:rsid w:val="45246C88"/>
    <w:rsid w:val="453E1B53"/>
    <w:rsid w:val="45F734F4"/>
    <w:rsid w:val="46170DEA"/>
    <w:rsid w:val="4635576D"/>
    <w:rsid w:val="464E330D"/>
    <w:rsid w:val="46CC020A"/>
    <w:rsid w:val="4E065343"/>
    <w:rsid w:val="500706C5"/>
    <w:rsid w:val="50967342"/>
    <w:rsid w:val="509A2530"/>
    <w:rsid w:val="563A15D9"/>
    <w:rsid w:val="57B01E2D"/>
    <w:rsid w:val="58B30A05"/>
    <w:rsid w:val="58F60637"/>
    <w:rsid w:val="5C906264"/>
    <w:rsid w:val="5E5031DB"/>
    <w:rsid w:val="602C7A59"/>
    <w:rsid w:val="6285527F"/>
    <w:rsid w:val="628A6DD4"/>
    <w:rsid w:val="63D90A13"/>
    <w:rsid w:val="656B4EBC"/>
    <w:rsid w:val="65E77267"/>
    <w:rsid w:val="68296FB0"/>
    <w:rsid w:val="68625DAE"/>
    <w:rsid w:val="6C2A0C6F"/>
    <w:rsid w:val="6CF42487"/>
    <w:rsid w:val="6E876D7F"/>
    <w:rsid w:val="707B54E8"/>
    <w:rsid w:val="73027CD1"/>
    <w:rsid w:val="73965494"/>
    <w:rsid w:val="75B62C0F"/>
    <w:rsid w:val="76717E42"/>
    <w:rsid w:val="77991C4E"/>
    <w:rsid w:val="780E763B"/>
    <w:rsid w:val="7A840905"/>
    <w:rsid w:val="7B8B59E1"/>
    <w:rsid w:val="7C25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7" w:unhideWhenUsed="0" w:qFormat="1"/>
    <w:lsdException w:name="heading 1" w:semiHidden="0" w:uiPriority="6" w:unhideWhenUsed="0" w:qFormat="1"/>
    <w:lsdException w:name="heading 2" w:semiHidden="0" w:uiPriority="6" w:unhideWhenUsed="0" w:qFormat="1"/>
    <w:lsdException w:name="heading 3" w:semiHidden="0" w:uiPriority="6"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6"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style>
  <w:style w:type="paragraph" w:styleId="1">
    <w:name w:val="heading 1"/>
    <w:basedOn w:val="a"/>
    <w:next w:val="a"/>
    <w:uiPriority w:val="6"/>
    <w:qFormat/>
    <w:pPr>
      <w:keepNext/>
      <w:spacing w:before="240" w:after="60"/>
      <w:outlineLvl w:val="0"/>
    </w:pPr>
    <w:rPr>
      <w:rFonts w:ascii="Arial" w:hAnsi="Arial"/>
      <w:b/>
      <w:kern w:val="28"/>
      <w:sz w:val="28"/>
    </w:rPr>
  </w:style>
  <w:style w:type="paragraph" w:styleId="2">
    <w:name w:val="heading 2"/>
    <w:basedOn w:val="a"/>
    <w:next w:val="a"/>
    <w:uiPriority w:val="6"/>
    <w:qFormat/>
    <w:pPr>
      <w:keepNext/>
      <w:spacing w:before="240" w:after="60"/>
      <w:outlineLvl w:val="1"/>
    </w:pPr>
    <w:rPr>
      <w:rFonts w:ascii="Arial" w:hAnsi="Arial"/>
      <w:b/>
      <w:i/>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6"/>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lcslm">
    <w:name w:val="llcs_lm"/>
    <w:basedOn w:val="a0"/>
    <w:rPr>
      <w:vanish/>
    </w:rPr>
  </w:style>
  <w:style w:type="character" w:styleId="FollowedHyperlink">
    <w:name w:val="FollowedHyperlink"/>
    <w:basedOn w:val="a0"/>
    <w:uiPriority w:val="99"/>
    <w:unhideWhenUsed/>
    <w:rPr>
      <w:color w:val="333333"/>
      <w:u w:val="none"/>
    </w:rPr>
  </w:style>
  <w:style w:type="character" w:customStyle="1" w:styleId="clearfix1">
    <w:name w:val="clearfix1"/>
    <w:basedOn w:val="a0"/>
  </w:style>
  <w:style w:type="character" w:customStyle="1" w:styleId="author">
    <w:name w:val="author"/>
    <w:basedOn w:val="a0"/>
    <w:rPr>
      <w:vanish/>
    </w:rPr>
  </w:style>
  <w:style w:type="character" w:styleId="HTML">
    <w:name w:val="HTML Code"/>
    <w:basedOn w:val="a0"/>
    <w:uiPriority w:val="99"/>
    <w:unhideWhenUsed/>
    <w:rPr>
      <w:rFonts w:ascii="Courier New" w:hAnsi="Courier New"/>
      <w:b w:val="0"/>
      <w:i w:val="0"/>
      <w:sz w:val="20"/>
    </w:rPr>
  </w:style>
  <w:style w:type="character" w:styleId="HTML0">
    <w:name w:val="HTML Definition"/>
    <w:basedOn w:val="a0"/>
    <w:uiPriority w:val="99"/>
    <w:unhideWhenUsed/>
    <w:rPr>
      <w:b w:val="0"/>
      <w:i w:val="0"/>
    </w:rPr>
  </w:style>
  <w:style w:type="character" w:customStyle="1" w:styleId="txt">
    <w:name w:val="txt"/>
    <w:basedOn w:val="a0"/>
  </w:style>
  <w:style w:type="character" w:styleId="HTML1">
    <w:name w:val="HTML Variable"/>
    <w:basedOn w:val="a0"/>
    <w:uiPriority w:val="99"/>
    <w:unhideWhenUsed/>
    <w:rPr>
      <w:b w:val="0"/>
      <w:i w:val="0"/>
    </w:rPr>
  </w:style>
  <w:style w:type="character" w:styleId="HTML2">
    <w:name w:val="HTML Cite"/>
    <w:basedOn w:val="a0"/>
    <w:uiPriority w:val="99"/>
    <w:unhideWhenUsed/>
    <w:rPr>
      <w:b w:val="0"/>
      <w:i w:val="0"/>
    </w:rPr>
  </w:style>
  <w:style w:type="character" w:styleId="a3">
    <w:name w:val="Hyperlink"/>
    <w:basedOn w:val="a0"/>
    <w:uiPriority w:val="99"/>
    <w:unhideWhenUsed/>
    <w:rPr>
      <w:color w:val="333333"/>
      <w:u w:val="none"/>
    </w:rPr>
  </w:style>
  <w:style w:type="character" w:customStyle="1" w:styleId="llcs">
    <w:name w:val="llcs"/>
    <w:basedOn w:val="a0"/>
    <w:rPr>
      <w:vanish/>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unhideWhenUsed/>
    <w:rPr>
      <w:sz w:val="24"/>
    </w:rPr>
  </w:style>
  <w:style w:type="paragraph" w:styleId="a6">
    <w:name w:val="footer"/>
    <w:basedOn w:val="a"/>
    <w:unhideWhenUsed/>
    <w:pPr>
      <w:tabs>
        <w:tab w:val="center" w:pos="4153"/>
        <w:tab w:val="right" w:pos="8306"/>
      </w:tabs>
      <w:snapToGrid w:val="0"/>
    </w:pPr>
    <w:rPr>
      <w:sz w:val="18"/>
    </w:rPr>
  </w:style>
  <w:style w:type="paragraph" w:customStyle="1" w:styleId="clearfix">
    <w:name w:val="clearfix"/>
    <w:basedOn w:val="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7" w:unhideWhenUsed="0" w:qFormat="1"/>
    <w:lsdException w:name="heading 1" w:semiHidden="0" w:uiPriority="6" w:unhideWhenUsed="0" w:qFormat="1"/>
    <w:lsdException w:name="heading 2" w:semiHidden="0" w:uiPriority="6" w:unhideWhenUsed="0" w:qFormat="1"/>
    <w:lsdException w:name="heading 3" w:semiHidden="0" w:uiPriority="6"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6"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style>
  <w:style w:type="paragraph" w:styleId="1">
    <w:name w:val="heading 1"/>
    <w:basedOn w:val="a"/>
    <w:next w:val="a"/>
    <w:uiPriority w:val="6"/>
    <w:qFormat/>
    <w:pPr>
      <w:keepNext/>
      <w:spacing w:before="240" w:after="60"/>
      <w:outlineLvl w:val="0"/>
    </w:pPr>
    <w:rPr>
      <w:rFonts w:ascii="Arial" w:hAnsi="Arial"/>
      <w:b/>
      <w:kern w:val="28"/>
      <w:sz w:val="28"/>
    </w:rPr>
  </w:style>
  <w:style w:type="paragraph" w:styleId="2">
    <w:name w:val="heading 2"/>
    <w:basedOn w:val="a"/>
    <w:next w:val="a"/>
    <w:uiPriority w:val="6"/>
    <w:qFormat/>
    <w:pPr>
      <w:keepNext/>
      <w:spacing w:before="240" w:after="60"/>
      <w:outlineLvl w:val="1"/>
    </w:pPr>
    <w:rPr>
      <w:rFonts w:ascii="Arial" w:hAnsi="Arial"/>
      <w:b/>
      <w:i/>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6"/>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lcslm">
    <w:name w:val="llcs_lm"/>
    <w:basedOn w:val="a0"/>
    <w:rPr>
      <w:vanish/>
    </w:rPr>
  </w:style>
  <w:style w:type="character" w:styleId="FollowedHyperlink">
    <w:name w:val="FollowedHyperlink"/>
    <w:basedOn w:val="a0"/>
    <w:uiPriority w:val="99"/>
    <w:unhideWhenUsed/>
    <w:rPr>
      <w:color w:val="333333"/>
      <w:u w:val="none"/>
    </w:rPr>
  </w:style>
  <w:style w:type="character" w:customStyle="1" w:styleId="clearfix1">
    <w:name w:val="clearfix1"/>
    <w:basedOn w:val="a0"/>
  </w:style>
  <w:style w:type="character" w:customStyle="1" w:styleId="author">
    <w:name w:val="author"/>
    <w:basedOn w:val="a0"/>
    <w:rPr>
      <w:vanish/>
    </w:rPr>
  </w:style>
  <w:style w:type="character" w:styleId="HTML">
    <w:name w:val="HTML Code"/>
    <w:basedOn w:val="a0"/>
    <w:uiPriority w:val="99"/>
    <w:unhideWhenUsed/>
    <w:rPr>
      <w:rFonts w:ascii="Courier New" w:hAnsi="Courier New"/>
      <w:b w:val="0"/>
      <w:i w:val="0"/>
      <w:sz w:val="20"/>
    </w:rPr>
  </w:style>
  <w:style w:type="character" w:styleId="HTML0">
    <w:name w:val="HTML Definition"/>
    <w:basedOn w:val="a0"/>
    <w:uiPriority w:val="99"/>
    <w:unhideWhenUsed/>
    <w:rPr>
      <w:b w:val="0"/>
      <w:i w:val="0"/>
    </w:rPr>
  </w:style>
  <w:style w:type="character" w:customStyle="1" w:styleId="txt">
    <w:name w:val="txt"/>
    <w:basedOn w:val="a0"/>
  </w:style>
  <w:style w:type="character" w:styleId="HTML1">
    <w:name w:val="HTML Variable"/>
    <w:basedOn w:val="a0"/>
    <w:uiPriority w:val="99"/>
    <w:unhideWhenUsed/>
    <w:rPr>
      <w:b w:val="0"/>
      <w:i w:val="0"/>
    </w:rPr>
  </w:style>
  <w:style w:type="character" w:styleId="HTML2">
    <w:name w:val="HTML Cite"/>
    <w:basedOn w:val="a0"/>
    <w:uiPriority w:val="99"/>
    <w:unhideWhenUsed/>
    <w:rPr>
      <w:b w:val="0"/>
      <w:i w:val="0"/>
    </w:rPr>
  </w:style>
  <w:style w:type="character" w:styleId="a3">
    <w:name w:val="Hyperlink"/>
    <w:basedOn w:val="a0"/>
    <w:uiPriority w:val="99"/>
    <w:unhideWhenUsed/>
    <w:rPr>
      <w:color w:val="333333"/>
      <w:u w:val="none"/>
    </w:rPr>
  </w:style>
  <w:style w:type="character" w:customStyle="1" w:styleId="llcs">
    <w:name w:val="llcs"/>
    <w:basedOn w:val="a0"/>
    <w:rPr>
      <w:vanish/>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unhideWhenUsed/>
    <w:rPr>
      <w:sz w:val="24"/>
    </w:rPr>
  </w:style>
  <w:style w:type="paragraph" w:styleId="a6">
    <w:name w:val="footer"/>
    <w:basedOn w:val="a"/>
    <w:unhideWhenUsed/>
    <w:pPr>
      <w:tabs>
        <w:tab w:val="center" w:pos="4153"/>
        <w:tab w:val="right" w:pos="8306"/>
      </w:tabs>
      <w:snapToGrid w:val="0"/>
    </w:pPr>
    <w:rPr>
      <w:sz w:val="18"/>
    </w:rPr>
  </w:style>
  <w:style w:type="paragraph" w:customStyle="1" w:styleId="clearfix">
    <w:name w:val="clearfix"/>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941</Characters>
  <Application>Microsoft Macintosh Word</Application>
  <DocSecurity>0</DocSecurity>
  <PresentationFormat/>
  <Lines>7</Lines>
  <Paragraphs>2</Paragraphs>
  <Slides>0</Slides>
  <Notes>0</Notes>
  <HiddenSlides>0</HiddenSlides>
  <MMClips>0</MMClips>
  <ScaleCrop>false</ScaleCrop>
  <Manager/>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国家税务总局中山市税务局 中山市住房与和城乡建设局关于发布中山市2008-2016年土地增值税扣除项目金额标准的公告 </dc:title>
  <dc:subject/>
  <dc:creator>赖志勇</dc:creator>
  <cp:keywords/>
  <dc:description/>
  <cp:lastModifiedBy>王岭燕</cp:lastModifiedBy>
  <cp:revision>2</cp:revision>
  <cp:lastPrinted>2020-07-21T08:04:00Z</cp:lastPrinted>
  <dcterms:created xsi:type="dcterms:W3CDTF">2020-09-03T02:01:00Z</dcterms:created>
  <dcterms:modified xsi:type="dcterms:W3CDTF">2020-09-03T02:01:00Z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