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81" w:rsidRPr="001C7CE6" w:rsidRDefault="00D80525" w:rsidP="0057792B">
      <w:pPr>
        <w:spacing w:line="540" w:lineRule="exact"/>
        <w:jc w:val="center"/>
        <w:rPr>
          <w:rFonts w:ascii="黑体" w:eastAsia="黑体" w:hAnsi="黑体"/>
          <w:sz w:val="36"/>
          <w:szCs w:val="36"/>
        </w:rPr>
      </w:pPr>
      <w:bookmarkStart w:id="0" w:name="_GoBack"/>
      <w:bookmarkEnd w:id="0"/>
      <w:r w:rsidRPr="00D80525">
        <w:rPr>
          <w:rFonts w:ascii="黑体" w:eastAsia="黑体" w:hAnsi="黑体" w:hint="eastAsia"/>
          <w:sz w:val="36"/>
          <w:szCs w:val="36"/>
        </w:rPr>
        <w:t>《中国人民银行 国家发展和改革委员会 商务部 国务院国有资产监督管理委员会 中国银行保险监督管理委员会 国家外汇管理局关于进一步优化跨境人民币政策 支持稳外贸稳外资的通知（征求意见稿）》</w:t>
      </w:r>
      <w:r w:rsidR="004847D9">
        <w:rPr>
          <w:rFonts w:ascii="黑体" w:eastAsia="黑体" w:hAnsi="黑体" w:hint="eastAsia"/>
          <w:sz w:val="36"/>
          <w:szCs w:val="36"/>
        </w:rPr>
        <w:t>起草</w:t>
      </w:r>
      <w:r w:rsidR="00357138" w:rsidRPr="001C7CE6">
        <w:rPr>
          <w:rFonts w:ascii="黑体" w:eastAsia="黑体" w:hAnsi="黑体" w:hint="eastAsia"/>
          <w:sz w:val="36"/>
          <w:szCs w:val="36"/>
        </w:rPr>
        <w:t>说明</w:t>
      </w:r>
    </w:p>
    <w:p w:rsidR="005D3FFE" w:rsidRDefault="00357138" w:rsidP="001C7CE6">
      <w:pPr>
        <w:spacing w:line="580" w:lineRule="exact"/>
        <w:jc w:val="left"/>
        <w:rPr>
          <w:rFonts w:ascii="仿宋" w:eastAsia="仿宋" w:hAnsi="仿宋"/>
          <w:sz w:val="30"/>
          <w:szCs w:val="30"/>
        </w:rPr>
      </w:pPr>
      <w:r>
        <w:rPr>
          <w:rFonts w:ascii="仿宋" w:eastAsia="仿宋" w:hAnsi="仿宋" w:hint="eastAsia"/>
          <w:sz w:val="30"/>
          <w:szCs w:val="30"/>
        </w:rPr>
        <w:t xml:space="preserve">    </w:t>
      </w:r>
    </w:p>
    <w:p w:rsidR="007D050E" w:rsidRPr="007D050E" w:rsidRDefault="00443629" w:rsidP="00443629">
      <w:pPr>
        <w:spacing w:line="520" w:lineRule="exact"/>
        <w:ind w:firstLineChars="200" w:firstLine="640"/>
        <w:rPr>
          <w:rFonts w:ascii="Times New Roman" w:eastAsia="仿宋_GB2312" w:hAnsi="Times New Roman" w:cs="仿宋_GB2312"/>
          <w:sz w:val="32"/>
          <w:szCs w:val="32"/>
        </w:rPr>
      </w:pPr>
      <w:r w:rsidRPr="00443629">
        <w:rPr>
          <w:rFonts w:ascii="Times New Roman" w:eastAsia="仿宋_GB2312" w:hAnsi="Times New Roman" w:cs="仿宋_GB2312" w:hint="eastAsia"/>
          <w:sz w:val="32"/>
          <w:szCs w:val="32"/>
        </w:rPr>
        <w:t>为贯彻落实党中央、国务院关于扎实做好“六稳”工作、全面落实“六保”任务的决策部署，推动形成以国内大循环为主体、国内国际双循环相互促进的新发展格局，进一步发挥跨境人民币业务服务实体经济、促进贸易投资便利化的作用，</w:t>
      </w:r>
      <w:r w:rsidR="00793AA8">
        <w:rPr>
          <w:rFonts w:ascii="Times New Roman" w:eastAsia="仿宋_GB2312" w:hAnsi="Times New Roman" w:cs="仿宋_GB2312" w:hint="eastAsia"/>
          <w:sz w:val="32"/>
          <w:szCs w:val="32"/>
        </w:rPr>
        <w:t>人民银行与发改委、商务部、国资委、银保监会、外汇局共同</w:t>
      </w:r>
      <w:r w:rsidR="007D050E" w:rsidRPr="007D050E">
        <w:rPr>
          <w:rFonts w:ascii="Times New Roman" w:eastAsia="仿宋_GB2312" w:hAnsi="Times New Roman" w:cs="仿宋_GB2312" w:hint="eastAsia"/>
          <w:sz w:val="32"/>
          <w:szCs w:val="32"/>
        </w:rPr>
        <w:t>起草了《</w:t>
      </w:r>
      <w:r w:rsidR="00793AA8" w:rsidRPr="00793AA8">
        <w:rPr>
          <w:rFonts w:ascii="Times New Roman" w:eastAsia="仿宋_GB2312" w:hAnsi="Times New Roman" w:cs="仿宋_GB2312" w:hint="eastAsia"/>
          <w:sz w:val="32"/>
          <w:szCs w:val="32"/>
        </w:rPr>
        <w:t>中国人民银行</w:t>
      </w:r>
      <w:r w:rsidR="00793AA8">
        <w:rPr>
          <w:rFonts w:ascii="Times New Roman" w:eastAsia="仿宋_GB2312" w:hAnsi="Times New Roman" w:cs="仿宋_GB2312" w:hint="eastAsia"/>
          <w:sz w:val="32"/>
          <w:szCs w:val="32"/>
        </w:rPr>
        <w:t xml:space="preserve"> </w:t>
      </w:r>
      <w:r w:rsidR="00793AA8" w:rsidRPr="00793AA8">
        <w:rPr>
          <w:rFonts w:ascii="Times New Roman" w:eastAsia="仿宋_GB2312" w:hAnsi="Times New Roman" w:cs="仿宋_GB2312" w:hint="eastAsia"/>
          <w:sz w:val="32"/>
          <w:szCs w:val="32"/>
        </w:rPr>
        <w:t>国家发展和改革委员会</w:t>
      </w:r>
      <w:r w:rsidR="00793AA8">
        <w:rPr>
          <w:rFonts w:ascii="Times New Roman" w:eastAsia="仿宋_GB2312" w:hAnsi="Times New Roman" w:cs="仿宋_GB2312" w:hint="eastAsia"/>
          <w:sz w:val="32"/>
          <w:szCs w:val="32"/>
        </w:rPr>
        <w:t xml:space="preserve"> </w:t>
      </w:r>
      <w:r w:rsidR="00793AA8" w:rsidRPr="00793AA8">
        <w:rPr>
          <w:rFonts w:ascii="Times New Roman" w:eastAsia="仿宋_GB2312" w:hAnsi="Times New Roman" w:cs="仿宋_GB2312" w:hint="eastAsia"/>
          <w:sz w:val="32"/>
          <w:szCs w:val="32"/>
        </w:rPr>
        <w:t>商务部</w:t>
      </w:r>
      <w:r w:rsidR="00793AA8">
        <w:rPr>
          <w:rFonts w:ascii="Times New Roman" w:eastAsia="仿宋_GB2312" w:hAnsi="Times New Roman" w:cs="仿宋_GB2312" w:hint="eastAsia"/>
          <w:sz w:val="32"/>
          <w:szCs w:val="32"/>
        </w:rPr>
        <w:t xml:space="preserve"> </w:t>
      </w:r>
      <w:r w:rsidR="00793AA8" w:rsidRPr="00793AA8">
        <w:rPr>
          <w:rFonts w:ascii="Times New Roman" w:eastAsia="仿宋_GB2312" w:hAnsi="Times New Roman" w:cs="仿宋_GB2312" w:hint="eastAsia"/>
          <w:sz w:val="32"/>
          <w:szCs w:val="32"/>
        </w:rPr>
        <w:t>国务院国有资产监督管理委员会</w:t>
      </w:r>
      <w:r w:rsidR="00793AA8">
        <w:rPr>
          <w:rFonts w:ascii="Times New Roman" w:eastAsia="仿宋_GB2312" w:hAnsi="Times New Roman" w:cs="仿宋_GB2312" w:hint="eastAsia"/>
          <w:sz w:val="32"/>
          <w:szCs w:val="32"/>
        </w:rPr>
        <w:t xml:space="preserve"> </w:t>
      </w:r>
      <w:r w:rsidR="00793AA8" w:rsidRPr="00793AA8">
        <w:rPr>
          <w:rFonts w:ascii="Times New Roman" w:eastAsia="仿宋_GB2312" w:hAnsi="Times New Roman" w:cs="仿宋_GB2312" w:hint="eastAsia"/>
          <w:sz w:val="32"/>
          <w:szCs w:val="32"/>
        </w:rPr>
        <w:t>中国银行保险监督管理委员会</w:t>
      </w:r>
      <w:r w:rsidR="00793AA8">
        <w:rPr>
          <w:rFonts w:ascii="Times New Roman" w:eastAsia="仿宋_GB2312" w:hAnsi="Times New Roman" w:cs="仿宋_GB2312" w:hint="eastAsia"/>
          <w:sz w:val="32"/>
          <w:szCs w:val="32"/>
        </w:rPr>
        <w:t xml:space="preserve"> </w:t>
      </w:r>
      <w:r w:rsidR="00793AA8" w:rsidRPr="00793AA8">
        <w:rPr>
          <w:rFonts w:ascii="Times New Roman" w:eastAsia="仿宋_GB2312" w:hAnsi="Times New Roman" w:cs="仿宋_GB2312" w:hint="eastAsia"/>
          <w:sz w:val="32"/>
          <w:szCs w:val="32"/>
        </w:rPr>
        <w:t>国家外汇管理局</w:t>
      </w:r>
      <w:r w:rsidR="007D050E" w:rsidRPr="007D050E">
        <w:rPr>
          <w:rFonts w:ascii="Times New Roman" w:eastAsia="仿宋_GB2312" w:hAnsi="Times New Roman" w:cs="仿宋_GB2312" w:hint="eastAsia"/>
          <w:sz w:val="32"/>
          <w:szCs w:val="32"/>
        </w:rPr>
        <w:t>关于进一步优化</w:t>
      </w:r>
      <w:r w:rsidR="00D03E10" w:rsidRPr="007D050E">
        <w:rPr>
          <w:rFonts w:ascii="Times New Roman" w:eastAsia="仿宋_GB2312" w:hAnsi="Times New Roman" w:cs="仿宋_GB2312" w:hint="eastAsia"/>
          <w:sz w:val="32"/>
          <w:szCs w:val="32"/>
        </w:rPr>
        <w:t>跨境</w:t>
      </w:r>
      <w:r w:rsidR="007D050E" w:rsidRPr="007D050E">
        <w:rPr>
          <w:rFonts w:ascii="Times New Roman" w:eastAsia="仿宋_GB2312" w:hAnsi="Times New Roman" w:cs="仿宋_GB2312" w:hint="eastAsia"/>
          <w:sz w:val="32"/>
          <w:szCs w:val="32"/>
        </w:rPr>
        <w:t>人民币政策</w:t>
      </w:r>
      <w:r w:rsidR="00D03E10">
        <w:rPr>
          <w:rFonts w:ascii="Times New Roman" w:eastAsia="仿宋_GB2312" w:hAnsi="Times New Roman" w:cs="仿宋_GB2312" w:hint="eastAsia"/>
          <w:sz w:val="32"/>
          <w:szCs w:val="32"/>
        </w:rPr>
        <w:t xml:space="preserve"> </w:t>
      </w:r>
      <w:r w:rsidR="007D050E" w:rsidRPr="007D050E">
        <w:rPr>
          <w:rFonts w:ascii="Times New Roman" w:eastAsia="仿宋_GB2312" w:hAnsi="Times New Roman" w:cs="仿宋_GB2312" w:hint="eastAsia"/>
          <w:sz w:val="32"/>
          <w:szCs w:val="32"/>
        </w:rPr>
        <w:t>支持</w:t>
      </w:r>
      <w:r w:rsidR="00D03E10" w:rsidRPr="00D03E10">
        <w:rPr>
          <w:rFonts w:ascii="Times New Roman" w:eastAsia="仿宋_GB2312" w:hAnsi="Times New Roman" w:cs="仿宋_GB2312" w:hint="eastAsia"/>
          <w:sz w:val="32"/>
          <w:szCs w:val="32"/>
        </w:rPr>
        <w:t>稳外贸稳外资</w:t>
      </w:r>
      <w:r w:rsidR="007D050E" w:rsidRPr="007D050E">
        <w:rPr>
          <w:rFonts w:ascii="Times New Roman" w:eastAsia="仿宋_GB2312" w:hAnsi="Times New Roman" w:cs="仿宋_GB2312" w:hint="eastAsia"/>
          <w:sz w:val="32"/>
          <w:szCs w:val="32"/>
        </w:rPr>
        <w:t>的通知</w:t>
      </w:r>
      <w:r w:rsidR="00D80525">
        <w:rPr>
          <w:rFonts w:ascii="Times New Roman" w:eastAsia="仿宋_GB2312" w:hAnsi="Times New Roman" w:cs="仿宋_GB2312" w:hint="eastAsia"/>
          <w:sz w:val="32"/>
          <w:szCs w:val="32"/>
        </w:rPr>
        <w:t>（征求意见稿）</w:t>
      </w:r>
      <w:r w:rsidR="007D050E" w:rsidRPr="007D050E">
        <w:rPr>
          <w:rFonts w:ascii="Times New Roman" w:eastAsia="仿宋_GB2312" w:hAnsi="Times New Roman" w:cs="仿宋_GB2312" w:hint="eastAsia"/>
          <w:sz w:val="32"/>
          <w:szCs w:val="32"/>
        </w:rPr>
        <w:t>》（以下简称《通知》），现将</w:t>
      </w:r>
      <w:r w:rsidR="00793AA8">
        <w:rPr>
          <w:rFonts w:ascii="Times New Roman" w:eastAsia="仿宋_GB2312" w:hAnsi="Times New Roman" w:cs="仿宋_GB2312" w:hint="eastAsia"/>
          <w:sz w:val="32"/>
          <w:szCs w:val="32"/>
        </w:rPr>
        <w:t>有关情况</w:t>
      </w:r>
      <w:r w:rsidR="007D050E" w:rsidRPr="007D050E">
        <w:rPr>
          <w:rFonts w:ascii="Times New Roman" w:eastAsia="仿宋_GB2312" w:hAnsi="Times New Roman" w:cs="仿宋_GB2312" w:hint="eastAsia"/>
          <w:sz w:val="32"/>
          <w:szCs w:val="32"/>
        </w:rPr>
        <w:t>说明如下：</w:t>
      </w:r>
    </w:p>
    <w:p w:rsidR="00076C81" w:rsidRPr="001C7CE6" w:rsidRDefault="00357138" w:rsidP="00697527">
      <w:pPr>
        <w:spacing w:line="520" w:lineRule="exact"/>
        <w:ind w:firstLineChars="200" w:firstLine="640"/>
        <w:rPr>
          <w:rFonts w:ascii="黑体" w:eastAsia="黑体" w:hAnsi="黑体"/>
          <w:sz w:val="32"/>
          <w:szCs w:val="32"/>
        </w:rPr>
      </w:pPr>
      <w:r w:rsidRPr="001C7CE6">
        <w:rPr>
          <w:rFonts w:ascii="黑体" w:eastAsia="黑体" w:hAnsi="黑体" w:hint="eastAsia"/>
          <w:sz w:val="32"/>
          <w:szCs w:val="32"/>
        </w:rPr>
        <w:t>一、</w:t>
      </w:r>
      <w:r w:rsidR="00782DB8">
        <w:rPr>
          <w:rFonts w:ascii="黑体" w:eastAsia="黑体" w:hAnsi="黑体" w:hint="eastAsia"/>
          <w:sz w:val="32"/>
          <w:szCs w:val="32"/>
        </w:rPr>
        <w:t>起草《通知》</w:t>
      </w:r>
      <w:r w:rsidRPr="001C7CE6">
        <w:rPr>
          <w:rFonts w:ascii="黑体" w:eastAsia="黑体" w:hAnsi="黑体" w:hint="eastAsia"/>
          <w:sz w:val="32"/>
          <w:szCs w:val="32"/>
        </w:rPr>
        <w:t>的</w:t>
      </w:r>
      <w:r w:rsidR="003F3EC7">
        <w:rPr>
          <w:rFonts w:ascii="黑体" w:eastAsia="黑体" w:hAnsi="黑体" w:hint="eastAsia"/>
          <w:sz w:val="32"/>
          <w:szCs w:val="32"/>
        </w:rPr>
        <w:t>必要性</w:t>
      </w:r>
    </w:p>
    <w:p w:rsidR="007D050E" w:rsidRDefault="003B7932" w:rsidP="00697527">
      <w:pPr>
        <w:spacing w:line="520" w:lineRule="exact"/>
        <w:ind w:firstLine="600"/>
        <w:rPr>
          <w:rFonts w:ascii="Times New Roman" w:eastAsia="仿宋_GB2312" w:hAnsi="Times New Roman"/>
          <w:color w:val="000000"/>
          <w:sz w:val="32"/>
          <w:szCs w:val="32"/>
        </w:rPr>
      </w:pPr>
      <w:r>
        <w:rPr>
          <w:rFonts w:ascii="仿宋" w:eastAsia="仿宋" w:hAnsi="仿宋" w:hint="eastAsia"/>
          <w:sz w:val="32"/>
          <w:szCs w:val="32"/>
        </w:rPr>
        <w:t>当前，</w:t>
      </w:r>
      <w:r w:rsidR="00165F31">
        <w:rPr>
          <w:rFonts w:eastAsia="仿宋_GB2312" w:hint="eastAsia"/>
          <w:sz w:val="32"/>
          <w:szCs w:val="32"/>
        </w:rPr>
        <w:t>受疫情冲击影响</w:t>
      </w:r>
      <w:r w:rsidR="00165F31">
        <w:rPr>
          <w:rFonts w:ascii="仿宋" w:eastAsia="仿宋" w:hAnsi="仿宋" w:hint="eastAsia"/>
          <w:sz w:val="32"/>
          <w:szCs w:val="32"/>
        </w:rPr>
        <w:t>，世界经济严重衰退</w:t>
      </w:r>
      <w:r w:rsidR="000E36E0">
        <w:rPr>
          <w:rFonts w:ascii="仿宋" w:eastAsia="仿宋" w:hAnsi="仿宋" w:hint="eastAsia"/>
          <w:sz w:val="32"/>
          <w:szCs w:val="32"/>
        </w:rPr>
        <w:t>。</w:t>
      </w:r>
      <w:r w:rsidR="00165F31">
        <w:rPr>
          <w:rFonts w:eastAsia="仿宋_GB2312" w:hint="eastAsia"/>
          <w:sz w:val="32"/>
          <w:szCs w:val="32"/>
        </w:rPr>
        <w:t>我国疫情防控和复工复产虽取得阶段性成果，各类经济指标出现边际改善，</w:t>
      </w:r>
      <w:r w:rsidR="00165F31">
        <w:rPr>
          <w:rFonts w:ascii="仿宋" w:eastAsia="仿宋" w:hAnsi="仿宋" w:hint="eastAsia"/>
          <w:sz w:val="32"/>
          <w:szCs w:val="32"/>
        </w:rPr>
        <w:t>但外贸外资形势依然复杂严峻。</w:t>
      </w:r>
      <w:r w:rsidR="00EF043C">
        <w:rPr>
          <w:rFonts w:eastAsia="仿宋_GB2312" w:hint="eastAsia"/>
          <w:sz w:val="32"/>
          <w:szCs w:val="32"/>
        </w:rPr>
        <w:t>人民银行</w:t>
      </w:r>
      <w:r>
        <w:rPr>
          <w:rFonts w:eastAsia="仿宋_GB2312" w:hint="eastAsia"/>
          <w:sz w:val="32"/>
          <w:szCs w:val="32"/>
        </w:rPr>
        <w:t>高度重视稳外贸稳外资工作，</w:t>
      </w:r>
      <w:r w:rsidR="007D050E">
        <w:rPr>
          <w:rFonts w:eastAsia="仿宋_GB2312" w:hint="eastAsia"/>
          <w:sz w:val="32"/>
          <w:szCs w:val="32"/>
        </w:rPr>
        <w:t>不断</w:t>
      </w:r>
      <w:r w:rsidR="007D050E" w:rsidRPr="007D050E">
        <w:rPr>
          <w:rFonts w:ascii="仿宋_GB2312" w:eastAsia="仿宋_GB2312" w:hint="eastAsia"/>
          <w:sz w:val="32"/>
          <w:szCs w:val="32"/>
        </w:rPr>
        <w:t>优化完善跨境人民币使用政策框架</w:t>
      </w:r>
      <w:r w:rsidR="007D050E">
        <w:rPr>
          <w:rFonts w:ascii="仿宋_GB2312" w:eastAsia="仿宋_GB2312" w:hint="eastAsia"/>
          <w:sz w:val="32"/>
          <w:szCs w:val="32"/>
        </w:rPr>
        <w:t>，</w:t>
      </w:r>
      <w:r w:rsidR="007D050E" w:rsidRPr="007D050E">
        <w:rPr>
          <w:rFonts w:eastAsia="仿宋_GB2312" w:hint="eastAsia"/>
          <w:sz w:val="32"/>
          <w:szCs w:val="32"/>
        </w:rPr>
        <w:t>切实发挥</w:t>
      </w:r>
      <w:r w:rsidR="007D050E">
        <w:rPr>
          <w:rFonts w:eastAsia="仿宋_GB2312" w:hint="eastAsia"/>
          <w:sz w:val="32"/>
          <w:szCs w:val="32"/>
        </w:rPr>
        <w:t>了</w:t>
      </w:r>
      <w:r w:rsidR="007D050E" w:rsidRPr="007D050E">
        <w:rPr>
          <w:rFonts w:eastAsia="仿宋_GB2312" w:hint="eastAsia"/>
          <w:sz w:val="32"/>
          <w:szCs w:val="32"/>
        </w:rPr>
        <w:t>人民币跨境使用</w:t>
      </w:r>
      <w:r w:rsidR="007D050E" w:rsidRPr="00E7474A">
        <w:rPr>
          <w:rFonts w:eastAsia="仿宋_GB2312" w:hint="eastAsia"/>
          <w:sz w:val="32"/>
          <w:szCs w:val="32"/>
        </w:rPr>
        <w:t>帮助企业节约交易成本、降低汇率风险的积极作用</w:t>
      </w:r>
      <w:r w:rsidR="007D050E" w:rsidRPr="003D0A5E">
        <w:rPr>
          <w:rFonts w:ascii="Times New Roman" w:eastAsia="仿宋_GB2312" w:hAnsi="Times New Roman" w:hint="eastAsia"/>
          <w:color w:val="000000"/>
          <w:sz w:val="32"/>
          <w:szCs w:val="32"/>
        </w:rPr>
        <w:t>。</w:t>
      </w:r>
    </w:p>
    <w:p w:rsidR="00076C81" w:rsidRPr="001C7CE6" w:rsidRDefault="00ED381E" w:rsidP="00697527">
      <w:pPr>
        <w:spacing w:line="520" w:lineRule="exact"/>
        <w:ind w:firstLine="600"/>
        <w:rPr>
          <w:rFonts w:ascii="仿宋" w:eastAsia="仿宋" w:hAnsi="仿宋"/>
          <w:sz w:val="32"/>
          <w:szCs w:val="32"/>
        </w:rPr>
      </w:pPr>
      <w:r>
        <w:rPr>
          <w:rFonts w:ascii="仿宋" w:eastAsia="仿宋" w:hAnsi="仿宋" w:hint="eastAsia"/>
          <w:sz w:val="32"/>
          <w:szCs w:val="32"/>
        </w:rPr>
        <w:t>经过十余年发展，</w:t>
      </w:r>
      <w:r w:rsidR="00D80525">
        <w:rPr>
          <w:rFonts w:ascii="仿宋" w:eastAsia="仿宋" w:hAnsi="仿宋" w:hint="eastAsia"/>
          <w:sz w:val="32"/>
          <w:szCs w:val="32"/>
        </w:rPr>
        <w:t>企业</w:t>
      </w:r>
      <w:r>
        <w:rPr>
          <w:rFonts w:ascii="仿宋" w:eastAsia="仿宋" w:hAnsi="仿宋" w:hint="eastAsia"/>
          <w:sz w:val="32"/>
          <w:szCs w:val="32"/>
        </w:rPr>
        <w:t>在跨境贸易和投资中使用人民币</w:t>
      </w:r>
      <w:r w:rsidR="00D80525">
        <w:rPr>
          <w:rFonts w:ascii="仿宋" w:eastAsia="仿宋" w:hAnsi="仿宋" w:hint="eastAsia"/>
          <w:sz w:val="32"/>
          <w:szCs w:val="32"/>
        </w:rPr>
        <w:t>的障碍</w:t>
      </w:r>
      <w:r>
        <w:rPr>
          <w:rFonts w:ascii="仿宋" w:eastAsia="仿宋" w:hAnsi="仿宋" w:hint="eastAsia"/>
          <w:sz w:val="32"/>
          <w:szCs w:val="32"/>
        </w:rPr>
        <w:t>已</w:t>
      </w:r>
      <w:r w:rsidR="00D80525">
        <w:rPr>
          <w:rFonts w:ascii="仿宋" w:eastAsia="仿宋" w:hAnsi="仿宋" w:hint="eastAsia"/>
          <w:sz w:val="32"/>
          <w:szCs w:val="32"/>
        </w:rPr>
        <w:t>基本解除</w:t>
      </w:r>
      <w:r w:rsidRPr="00D80525">
        <w:rPr>
          <w:rFonts w:ascii="仿宋" w:eastAsia="仿宋" w:hAnsi="仿宋" w:hint="eastAsia"/>
          <w:sz w:val="32"/>
          <w:szCs w:val="32"/>
        </w:rPr>
        <w:t>，</w:t>
      </w:r>
      <w:r>
        <w:rPr>
          <w:rFonts w:ascii="仿宋" w:eastAsia="仿宋" w:hAnsi="仿宋" w:hint="eastAsia"/>
          <w:sz w:val="32"/>
          <w:szCs w:val="32"/>
        </w:rPr>
        <w:t>但</w:t>
      </w:r>
      <w:r w:rsidR="00357138" w:rsidRPr="001C7CE6">
        <w:rPr>
          <w:rFonts w:ascii="仿宋" w:eastAsia="仿宋" w:hAnsi="仿宋" w:hint="eastAsia"/>
          <w:sz w:val="32"/>
          <w:szCs w:val="32"/>
        </w:rPr>
        <w:t>人民币跨境业务</w:t>
      </w:r>
      <w:r w:rsidR="00FB3F3D">
        <w:rPr>
          <w:rFonts w:ascii="仿宋" w:eastAsia="仿宋" w:hAnsi="仿宋" w:hint="eastAsia"/>
          <w:sz w:val="32"/>
          <w:szCs w:val="32"/>
        </w:rPr>
        <w:t>在</w:t>
      </w:r>
      <w:r w:rsidR="00A510CC">
        <w:rPr>
          <w:rFonts w:ascii="仿宋" w:eastAsia="仿宋" w:hAnsi="仿宋" w:hint="eastAsia"/>
          <w:sz w:val="32"/>
          <w:szCs w:val="32"/>
        </w:rPr>
        <w:t>实践中</w:t>
      </w:r>
      <w:r w:rsidR="00EF043C">
        <w:rPr>
          <w:rFonts w:ascii="仿宋" w:eastAsia="仿宋" w:hAnsi="仿宋" w:hint="eastAsia"/>
          <w:sz w:val="32"/>
          <w:szCs w:val="32"/>
        </w:rPr>
        <w:t>仍</w:t>
      </w:r>
      <w:r w:rsidR="00357138" w:rsidRPr="001C7CE6">
        <w:rPr>
          <w:rFonts w:ascii="仿宋" w:eastAsia="仿宋" w:hAnsi="仿宋" w:hint="eastAsia"/>
          <w:sz w:val="32"/>
          <w:szCs w:val="32"/>
        </w:rPr>
        <w:t>存在</w:t>
      </w:r>
      <w:r w:rsidR="007D050E">
        <w:rPr>
          <w:rFonts w:ascii="仿宋" w:eastAsia="仿宋" w:hAnsi="仿宋" w:hint="eastAsia"/>
          <w:sz w:val="32"/>
          <w:szCs w:val="32"/>
        </w:rPr>
        <w:t>一些不便利的情况</w:t>
      </w:r>
      <w:r w:rsidR="00357138" w:rsidRPr="001C7CE6">
        <w:rPr>
          <w:rFonts w:ascii="仿宋" w:eastAsia="仿宋" w:hAnsi="仿宋" w:hint="eastAsia"/>
          <w:sz w:val="32"/>
          <w:szCs w:val="32"/>
        </w:rPr>
        <w:t>：</w:t>
      </w:r>
      <w:r w:rsidR="00357138" w:rsidRPr="001C7CE6">
        <w:rPr>
          <w:rFonts w:ascii="仿宋" w:eastAsia="仿宋" w:hAnsi="仿宋" w:hint="eastAsia"/>
          <w:b/>
          <w:sz w:val="32"/>
          <w:szCs w:val="32"/>
        </w:rPr>
        <w:t>一是部分政策出台时间较早，已不适应形</w:t>
      </w:r>
      <w:r w:rsidR="00357138" w:rsidRPr="001C7CE6">
        <w:rPr>
          <w:rFonts w:ascii="仿宋" w:eastAsia="仿宋" w:hAnsi="仿宋" w:hint="eastAsia"/>
          <w:b/>
          <w:sz w:val="32"/>
          <w:szCs w:val="32"/>
        </w:rPr>
        <w:lastRenderedPageBreak/>
        <w:t>势发展需要。</w:t>
      </w:r>
      <w:r w:rsidR="00357138" w:rsidRPr="001C7CE6">
        <w:rPr>
          <w:rFonts w:ascii="仿宋" w:eastAsia="仿宋" w:hAnsi="仿宋" w:hint="eastAsia"/>
          <w:sz w:val="32"/>
          <w:szCs w:val="32"/>
        </w:rPr>
        <w:t>例如“出口货物贸易人民币结算企业重点监管名单”系跨境贸易人民币结算试点配套政策，随着人民币</w:t>
      </w:r>
      <w:r w:rsidR="00220001" w:rsidRPr="001C7CE6">
        <w:rPr>
          <w:rFonts w:ascii="仿宋" w:eastAsia="仿宋" w:hAnsi="仿宋" w:hint="eastAsia"/>
          <w:sz w:val="32"/>
          <w:szCs w:val="32"/>
        </w:rPr>
        <w:t>跨境</w:t>
      </w:r>
      <w:r w:rsidR="00357138" w:rsidRPr="001C7CE6">
        <w:rPr>
          <w:rFonts w:ascii="仿宋" w:eastAsia="仿宋" w:hAnsi="仿宋" w:hint="eastAsia"/>
          <w:sz w:val="32"/>
          <w:szCs w:val="32"/>
        </w:rPr>
        <w:t>业务进入常态化全覆盖阶段，</w:t>
      </w:r>
      <w:r w:rsidR="00DB32C2">
        <w:rPr>
          <w:rFonts w:ascii="仿宋" w:eastAsia="仿宋" w:hAnsi="仿宋" w:hint="eastAsia"/>
          <w:sz w:val="32"/>
          <w:szCs w:val="32"/>
        </w:rPr>
        <w:t>名单名称和形成机制</w:t>
      </w:r>
      <w:r w:rsidR="00357138" w:rsidRPr="001C7CE6">
        <w:rPr>
          <w:rFonts w:ascii="仿宋" w:eastAsia="仿宋" w:hAnsi="仿宋" w:hint="eastAsia"/>
          <w:sz w:val="32"/>
          <w:szCs w:val="32"/>
        </w:rPr>
        <w:t>已经</w:t>
      </w:r>
      <w:r w:rsidR="00220001">
        <w:rPr>
          <w:rFonts w:ascii="仿宋" w:eastAsia="仿宋" w:hAnsi="仿宋" w:hint="eastAsia"/>
          <w:sz w:val="32"/>
          <w:szCs w:val="32"/>
        </w:rPr>
        <w:t>不适应当前需要</w:t>
      </w:r>
      <w:r w:rsidR="00357138" w:rsidRPr="001C7CE6">
        <w:rPr>
          <w:rFonts w:ascii="仿宋" w:eastAsia="仿宋" w:hAnsi="仿宋" w:hint="eastAsia"/>
          <w:sz w:val="32"/>
          <w:szCs w:val="32"/>
        </w:rPr>
        <w:t>。</w:t>
      </w:r>
      <w:r w:rsidR="00357138" w:rsidRPr="001C7CE6">
        <w:rPr>
          <w:rFonts w:ascii="仿宋" w:eastAsia="仿宋" w:hAnsi="仿宋" w:hint="eastAsia"/>
          <w:b/>
          <w:sz w:val="32"/>
          <w:szCs w:val="32"/>
        </w:rPr>
        <w:t>二是</w:t>
      </w:r>
      <w:r w:rsidR="00220001">
        <w:rPr>
          <w:rFonts w:ascii="仿宋" w:eastAsia="仿宋" w:hAnsi="仿宋" w:hint="eastAsia"/>
          <w:b/>
          <w:sz w:val="32"/>
          <w:szCs w:val="32"/>
        </w:rPr>
        <w:t>前期</w:t>
      </w:r>
      <w:r w:rsidR="00357138" w:rsidRPr="001C7CE6">
        <w:rPr>
          <w:rFonts w:ascii="仿宋" w:eastAsia="仿宋" w:hAnsi="仿宋" w:hint="eastAsia"/>
          <w:b/>
          <w:sz w:val="32"/>
          <w:szCs w:val="32"/>
        </w:rPr>
        <w:t>跨境人民币</w:t>
      </w:r>
      <w:r w:rsidR="00220001">
        <w:rPr>
          <w:rFonts w:ascii="仿宋" w:eastAsia="仿宋" w:hAnsi="仿宋" w:hint="eastAsia"/>
          <w:b/>
          <w:sz w:val="32"/>
          <w:szCs w:val="32"/>
        </w:rPr>
        <w:t>业务试点政策</w:t>
      </w:r>
      <w:r w:rsidR="00E8224A">
        <w:rPr>
          <w:rFonts w:ascii="仿宋" w:eastAsia="仿宋" w:hAnsi="仿宋" w:hint="eastAsia"/>
          <w:b/>
          <w:sz w:val="32"/>
          <w:szCs w:val="32"/>
        </w:rPr>
        <w:t>已</w:t>
      </w:r>
      <w:r w:rsidR="00220001">
        <w:rPr>
          <w:rFonts w:ascii="仿宋" w:eastAsia="仿宋" w:hAnsi="仿宋" w:hint="eastAsia"/>
          <w:b/>
          <w:sz w:val="32"/>
          <w:szCs w:val="32"/>
        </w:rPr>
        <w:t>具备推广基础</w:t>
      </w:r>
      <w:r w:rsidR="00357138" w:rsidRPr="001C7CE6">
        <w:rPr>
          <w:rFonts w:ascii="仿宋" w:eastAsia="仿宋" w:hAnsi="仿宋" w:hint="eastAsia"/>
          <w:b/>
          <w:sz w:val="32"/>
          <w:szCs w:val="32"/>
        </w:rPr>
        <w:t>。</w:t>
      </w:r>
      <w:r w:rsidR="00357138" w:rsidRPr="001C7CE6">
        <w:rPr>
          <w:rFonts w:ascii="仿宋" w:eastAsia="仿宋" w:hAnsi="仿宋" w:hint="eastAsia"/>
          <w:sz w:val="32"/>
          <w:szCs w:val="32"/>
        </w:rPr>
        <w:t>2019年</w:t>
      </w:r>
      <w:r w:rsidR="00B17A49">
        <w:rPr>
          <w:rFonts w:ascii="仿宋" w:eastAsia="仿宋" w:hAnsi="仿宋" w:hint="eastAsia"/>
          <w:sz w:val="32"/>
          <w:szCs w:val="32"/>
        </w:rPr>
        <w:t>在自贸区</w:t>
      </w:r>
      <w:r w:rsidR="00357138" w:rsidRPr="001C7CE6">
        <w:rPr>
          <w:rFonts w:ascii="仿宋" w:eastAsia="仿宋" w:hAnsi="仿宋" w:hint="eastAsia"/>
          <w:sz w:val="32"/>
          <w:szCs w:val="32"/>
        </w:rPr>
        <w:t>推出的跨境人民币结算高水平便利化试点产生良好社会反响，全国推广的呼声很高。</w:t>
      </w:r>
      <w:r w:rsidR="00B17A49">
        <w:rPr>
          <w:rFonts w:ascii="仿宋" w:eastAsia="仿宋" w:hAnsi="仿宋" w:hint="eastAsia"/>
          <w:b/>
          <w:sz w:val="32"/>
          <w:szCs w:val="32"/>
        </w:rPr>
        <w:t>三</w:t>
      </w:r>
      <w:r w:rsidR="00357138" w:rsidRPr="001C7CE6">
        <w:rPr>
          <w:rFonts w:ascii="仿宋" w:eastAsia="仿宋" w:hAnsi="仿宋" w:hint="eastAsia"/>
          <w:b/>
          <w:sz w:val="32"/>
          <w:szCs w:val="32"/>
        </w:rPr>
        <w:t>是对新兴业务模式</w:t>
      </w:r>
      <w:r w:rsidR="00220001">
        <w:rPr>
          <w:rFonts w:ascii="仿宋" w:eastAsia="仿宋" w:hAnsi="仿宋" w:hint="eastAsia"/>
          <w:b/>
          <w:sz w:val="32"/>
          <w:szCs w:val="32"/>
        </w:rPr>
        <w:t>和重点业务领域</w:t>
      </w:r>
      <w:r w:rsidR="00357138" w:rsidRPr="001C7CE6">
        <w:rPr>
          <w:rFonts w:ascii="仿宋" w:eastAsia="仿宋" w:hAnsi="仿宋" w:hint="eastAsia"/>
          <w:b/>
          <w:sz w:val="32"/>
          <w:szCs w:val="32"/>
        </w:rPr>
        <w:t>的支持力度</w:t>
      </w:r>
      <w:r w:rsidR="00220001">
        <w:rPr>
          <w:rFonts w:ascii="仿宋" w:eastAsia="仿宋" w:hAnsi="仿宋" w:hint="eastAsia"/>
          <w:b/>
          <w:sz w:val="32"/>
          <w:szCs w:val="32"/>
        </w:rPr>
        <w:t>有待加强</w:t>
      </w:r>
      <w:r w:rsidR="00357138" w:rsidRPr="001C7CE6">
        <w:rPr>
          <w:rFonts w:ascii="仿宋" w:eastAsia="仿宋" w:hAnsi="仿宋" w:hint="eastAsia"/>
          <w:b/>
          <w:sz w:val="32"/>
          <w:szCs w:val="32"/>
        </w:rPr>
        <w:t>。</w:t>
      </w:r>
      <w:r w:rsidR="00220001">
        <w:rPr>
          <w:rFonts w:ascii="仿宋" w:eastAsia="仿宋" w:hAnsi="仿宋" w:hint="eastAsia"/>
          <w:sz w:val="32"/>
          <w:szCs w:val="32"/>
        </w:rPr>
        <w:t>在</w:t>
      </w:r>
      <w:r w:rsidR="00357138" w:rsidRPr="001C7CE6">
        <w:rPr>
          <w:rFonts w:ascii="仿宋" w:eastAsia="仿宋" w:hAnsi="仿宋" w:hint="eastAsia"/>
          <w:sz w:val="32"/>
          <w:szCs w:val="32"/>
        </w:rPr>
        <w:t>跨境电商</w:t>
      </w:r>
      <w:r w:rsidR="00E8224A">
        <w:rPr>
          <w:rFonts w:ascii="仿宋" w:eastAsia="仿宋" w:hAnsi="仿宋" w:hint="eastAsia"/>
          <w:sz w:val="32"/>
          <w:szCs w:val="32"/>
        </w:rPr>
        <w:t>等贸易新业态</w:t>
      </w:r>
      <w:r w:rsidR="00357138" w:rsidRPr="001C7CE6">
        <w:rPr>
          <w:rFonts w:ascii="仿宋" w:eastAsia="仿宋" w:hAnsi="仿宋" w:hint="eastAsia"/>
          <w:sz w:val="32"/>
          <w:szCs w:val="32"/>
        </w:rPr>
        <w:t>、境外工程承包等</w:t>
      </w:r>
      <w:r w:rsidR="00DB32C2">
        <w:rPr>
          <w:rFonts w:ascii="仿宋" w:eastAsia="仿宋" w:hAnsi="仿宋" w:hint="eastAsia"/>
          <w:sz w:val="32"/>
          <w:szCs w:val="32"/>
        </w:rPr>
        <w:t>业务领域，</w:t>
      </w:r>
      <w:r w:rsidR="006B45EF">
        <w:rPr>
          <w:rFonts w:ascii="仿宋" w:eastAsia="仿宋" w:hAnsi="仿宋" w:hint="eastAsia"/>
          <w:sz w:val="32"/>
          <w:szCs w:val="32"/>
        </w:rPr>
        <w:t>有必要</w:t>
      </w:r>
      <w:r w:rsidR="00220001">
        <w:rPr>
          <w:rFonts w:ascii="仿宋" w:eastAsia="仿宋" w:hAnsi="仿宋" w:hint="eastAsia"/>
          <w:sz w:val="32"/>
          <w:szCs w:val="32"/>
        </w:rPr>
        <w:t>进一步加强政策支持。</w:t>
      </w:r>
    </w:p>
    <w:p w:rsidR="00076C81" w:rsidRPr="001C7CE6" w:rsidRDefault="00BE37BE" w:rsidP="00697527">
      <w:pPr>
        <w:spacing w:line="520" w:lineRule="exact"/>
        <w:ind w:firstLineChars="200" w:firstLine="640"/>
        <w:rPr>
          <w:rFonts w:ascii="仿宋" w:eastAsia="仿宋" w:hAnsi="仿宋"/>
          <w:sz w:val="32"/>
          <w:szCs w:val="32"/>
        </w:rPr>
      </w:pPr>
      <w:r>
        <w:rPr>
          <w:rFonts w:ascii="仿宋" w:eastAsia="仿宋" w:hAnsi="仿宋" w:hint="eastAsia"/>
          <w:sz w:val="32"/>
          <w:szCs w:val="32"/>
        </w:rPr>
        <w:t>今年</w:t>
      </w:r>
      <w:r w:rsidR="00357138" w:rsidRPr="001C7CE6">
        <w:rPr>
          <w:rFonts w:ascii="仿宋" w:eastAsia="仿宋" w:hAnsi="仿宋" w:hint="eastAsia"/>
          <w:sz w:val="32"/>
          <w:szCs w:val="32"/>
        </w:rPr>
        <w:t>政府工作报告提出，推进更高水平对外开放，稳住外贸外资基本盘。这是我们起草《通知》的根本出发点和立足点，具体目标包括</w:t>
      </w:r>
      <w:r w:rsidR="00E532B1">
        <w:rPr>
          <w:rFonts w:ascii="仿宋" w:eastAsia="仿宋" w:hAnsi="仿宋" w:hint="eastAsia"/>
          <w:sz w:val="32"/>
          <w:szCs w:val="32"/>
        </w:rPr>
        <w:t>四</w:t>
      </w:r>
      <w:r w:rsidR="00357138" w:rsidRPr="001C7CE6">
        <w:rPr>
          <w:rFonts w:ascii="仿宋" w:eastAsia="仿宋" w:hAnsi="仿宋" w:hint="eastAsia"/>
          <w:sz w:val="32"/>
          <w:szCs w:val="32"/>
        </w:rPr>
        <w:t>个方面：</w:t>
      </w:r>
      <w:r w:rsidR="00357138" w:rsidRPr="00220001">
        <w:rPr>
          <w:rFonts w:ascii="仿宋" w:eastAsia="仿宋" w:hAnsi="仿宋" w:hint="eastAsia"/>
          <w:b/>
          <w:sz w:val="32"/>
          <w:szCs w:val="32"/>
        </w:rPr>
        <w:t>一是</w:t>
      </w:r>
      <w:r w:rsidR="00357138" w:rsidRPr="001C7CE6">
        <w:rPr>
          <w:rFonts w:ascii="仿宋" w:eastAsia="仿宋" w:hAnsi="仿宋" w:hint="eastAsia"/>
          <w:sz w:val="32"/>
          <w:szCs w:val="32"/>
        </w:rPr>
        <w:t>贯彻落实“六稳”“六保”工作要求</w:t>
      </w:r>
      <w:r w:rsidR="002575AE">
        <w:rPr>
          <w:rFonts w:ascii="仿宋" w:eastAsia="仿宋" w:hAnsi="仿宋" w:hint="eastAsia"/>
          <w:sz w:val="32"/>
          <w:szCs w:val="32"/>
        </w:rPr>
        <w:t>，</w:t>
      </w:r>
      <w:r w:rsidR="00B17A49">
        <w:rPr>
          <w:rFonts w:ascii="仿宋" w:eastAsia="仿宋" w:hAnsi="仿宋" w:hint="eastAsia"/>
          <w:sz w:val="32"/>
          <w:szCs w:val="32"/>
        </w:rPr>
        <w:t>提升金融服务实体经济的能力和水平</w:t>
      </w:r>
      <w:r w:rsidR="00357138" w:rsidRPr="001C7CE6">
        <w:rPr>
          <w:rFonts w:ascii="仿宋" w:eastAsia="仿宋" w:hAnsi="仿宋" w:hint="eastAsia"/>
          <w:sz w:val="32"/>
          <w:szCs w:val="32"/>
        </w:rPr>
        <w:t>；</w:t>
      </w:r>
      <w:r w:rsidR="00357138" w:rsidRPr="00220001">
        <w:rPr>
          <w:rFonts w:ascii="仿宋" w:eastAsia="仿宋" w:hAnsi="仿宋" w:hint="eastAsia"/>
          <w:b/>
          <w:sz w:val="32"/>
          <w:szCs w:val="32"/>
        </w:rPr>
        <w:t>二是</w:t>
      </w:r>
      <w:r w:rsidR="00D03E10" w:rsidRPr="001C7CE6">
        <w:rPr>
          <w:rFonts w:ascii="仿宋" w:eastAsia="仿宋" w:hAnsi="仿宋" w:hint="eastAsia"/>
          <w:sz w:val="32"/>
          <w:szCs w:val="32"/>
        </w:rPr>
        <w:t>着力解决市场主体反映强烈的堵点难点痛点问题</w:t>
      </w:r>
      <w:r w:rsidR="00D03E10">
        <w:rPr>
          <w:rFonts w:ascii="仿宋" w:eastAsia="仿宋" w:hAnsi="仿宋" w:hint="eastAsia"/>
          <w:sz w:val="32"/>
          <w:szCs w:val="32"/>
        </w:rPr>
        <w:t>，</w:t>
      </w:r>
      <w:r w:rsidR="00357138" w:rsidRPr="001C7CE6">
        <w:rPr>
          <w:rFonts w:ascii="仿宋" w:eastAsia="仿宋" w:hAnsi="仿宋" w:hint="eastAsia"/>
          <w:sz w:val="32"/>
          <w:szCs w:val="32"/>
        </w:rPr>
        <w:t>打通政策落地“最后一公里”，在风险可控的前提下不断提高跨境人民币结算便利化水平，切实提升企业的获得感和满意度；</w:t>
      </w:r>
      <w:r w:rsidR="00357138" w:rsidRPr="00220001">
        <w:rPr>
          <w:rFonts w:ascii="仿宋" w:eastAsia="仿宋" w:hAnsi="仿宋" w:hint="eastAsia"/>
          <w:b/>
          <w:sz w:val="32"/>
          <w:szCs w:val="32"/>
        </w:rPr>
        <w:t>三是</w:t>
      </w:r>
      <w:r w:rsidR="00727C93">
        <w:rPr>
          <w:rFonts w:ascii="仿宋" w:eastAsia="仿宋" w:hAnsi="仿宋" w:hint="eastAsia"/>
          <w:sz w:val="32"/>
          <w:szCs w:val="32"/>
        </w:rPr>
        <w:t>加强对贸易新业态</w:t>
      </w:r>
      <w:r w:rsidR="00E532B1">
        <w:rPr>
          <w:rFonts w:ascii="仿宋" w:eastAsia="仿宋" w:hAnsi="仿宋" w:hint="eastAsia"/>
          <w:sz w:val="32"/>
          <w:szCs w:val="32"/>
        </w:rPr>
        <w:t>和国际合作等重点领域的跨境人民币政策支持力度。</w:t>
      </w:r>
    </w:p>
    <w:p w:rsidR="00076C81" w:rsidRPr="001C7CE6" w:rsidRDefault="00357138" w:rsidP="00697527">
      <w:pPr>
        <w:spacing w:line="520" w:lineRule="exact"/>
        <w:ind w:firstLineChars="200" w:firstLine="640"/>
        <w:rPr>
          <w:rFonts w:ascii="黑体" w:eastAsia="黑体" w:hAnsi="黑体"/>
          <w:sz w:val="32"/>
          <w:szCs w:val="32"/>
        </w:rPr>
      </w:pPr>
      <w:r w:rsidRPr="001C7CE6">
        <w:rPr>
          <w:rFonts w:ascii="黑体" w:eastAsia="黑体" w:hAnsi="黑体" w:hint="eastAsia"/>
          <w:sz w:val="32"/>
          <w:szCs w:val="32"/>
        </w:rPr>
        <w:t>二、《通知》主要内容</w:t>
      </w:r>
    </w:p>
    <w:p w:rsidR="003C71A9" w:rsidRDefault="00357138" w:rsidP="00A97DEE">
      <w:pPr>
        <w:spacing w:line="520" w:lineRule="exact"/>
        <w:ind w:firstLineChars="200" w:firstLine="693"/>
        <w:rPr>
          <w:rFonts w:ascii="仿宋_GB2312" w:eastAsia="仿宋_GB2312" w:hAnsi="仿宋_GB2312" w:cs="仿宋_GB2312" w:hint="eastAsia"/>
          <w:b/>
          <w:bCs/>
          <w:sz w:val="32"/>
          <w:szCs w:val="32"/>
          <w:shd w:val="clear" w:color="auto" w:fill="FFFFFF"/>
        </w:rPr>
      </w:pPr>
      <w:r w:rsidRPr="00621313">
        <w:rPr>
          <w:rFonts w:ascii="仿宋_GB2312" w:eastAsia="仿宋_GB2312" w:hAnsi="仿宋" w:hint="eastAsia"/>
          <w:b/>
          <w:sz w:val="32"/>
          <w:szCs w:val="32"/>
        </w:rPr>
        <w:t>（一）</w:t>
      </w:r>
      <w:r w:rsidR="003C71A9">
        <w:rPr>
          <w:rFonts w:ascii="仿宋_GB2312" w:eastAsia="仿宋_GB2312" w:hAnsi="仿宋_GB2312" w:cs="仿宋_GB2312" w:hint="eastAsia"/>
          <w:b/>
          <w:bCs/>
          <w:sz w:val="32"/>
          <w:szCs w:val="32"/>
          <w:shd w:val="clear" w:color="auto" w:fill="FFFFFF"/>
        </w:rPr>
        <w:t>关于</w:t>
      </w:r>
      <w:r w:rsidR="009D7CF4" w:rsidRPr="00621313">
        <w:rPr>
          <w:rFonts w:ascii="仿宋_GB2312" w:eastAsia="仿宋_GB2312" w:hAnsi="仿宋_GB2312" w:cs="仿宋_GB2312" w:hint="eastAsia"/>
          <w:b/>
          <w:bCs/>
          <w:sz w:val="32"/>
          <w:szCs w:val="32"/>
          <w:shd w:val="clear" w:color="auto" w:fill="FFFFFF"/>
        </w:rPr>
        <w:t>推动更高水平贸易投资人民币结算便利化</w:t>
      </w:r>
    </w:p>
    <w:p w:rsidR="002277DA" w:rsidRPr="001D0276" w:rsidRDefault="00782DB8" w:rsidP="00A97DEE">
      <w:pPr>
        <w:spacing w:line="520" w:lineRule="exact"/>
        <w:ind w:firstLineChars="200" w:firstLine="693"/>
        <w:rPr>
          <w:rFonts w:ascii="仿宋" w:eastAsia="仿宋" w:hAnsi="仿宋"/>
          <w:sz w:val="32"/>
          <w:szCs w:val="32"/>
        </w:rPr>
      </w:pPr>
      <w:r w:rsidRPr="004A5022">
        <w:rPr>
          <w:rFonts w:ascii="仿宋_GB2312" w:eastAsia="仿宋_GB2312" w:hAnsi="仿宋_GB2312" w:cs="仿宋_GB2312" w:hint="eastAsia"/>
          <w:b/>
          <w:bCs/>
          <w:sz w:val="32"/>
          <w:szCs w:val="32"/>
          <w:shd w:val="clear" w:color="auto" w:fill="FFFFFF"/>
        </w:rPr>
        <w:t>一是</w:t>
      </w:r>
      <w:r w:rsidR="009D7CF4" w:rsidRPr="001D0276">
        <w:rPr>
          <w:rFonts w:ascii="仿宋_GB2312" w:eastAsia="仿宋_GB2312" w:hAnsi="仿宋_GB2312" w:cs="仿宋_GB2312" w:hint="eastAsia"/>
          <w:sz w:val="32"/>
          <w:szCs w:val="32"/>
          <w:shd w:val="clear" w:color="auto" w:fill="FFFFFF"/>
        </w:rPr>
        <w:t>在全国范围内开展更高水平贸易投资便利化试点</w:t>
      </w:r>
      <w:r w:rsidR="00B17A49">
        <w:rPr>
          <w:rFonts w:ascii="仿宋_GB2312" w:eastAsia="仿宋_GB2312" w:hAnsi="仿宋_GB2312" w:cs="仿宋_GB2312" w:hint="eastAsia"/>
          <w:sz w:val="32"/>
          <w:szCs w:val="32"/>
          <w:shd w:val="clear" w:color="auto" w:fill="FFFFFF"/>
        </w:rPr>
        <w:t>，让更多优质企业享受便捷高效的跨境人民币金融服务；</w:t>
      </w:r>
      <w:r w:rsidRPr="004A5022">
        <w:rPr>
          <w:rFonts w:ascii="仿宋_GB2312" w:eastAsia="仿宋_GB2312" w:hAnsi="仿宋_GB2312" w:cs="仿宋_GB2312" w:hint="eastAsia"/>
          <w:b/>
          <w:sz w:val="32"/>
          <w:szCs w:val="32"/>
          <w:shd w:val="clear" w:color="auto" w:fill="FFFFFF"/>
        </w:rPr>
        <w:t>二</w:t>
      </w:r>
      <w:r w:rsidRPr="004A5022">
        <w:rPr>
          <w:rFonts w:ascii="仿宋" w:eastAsia="仿宋" w:hAnsi="仿宋" w:hint="eastAsia"/>
          <w:b/>
          <w:bCs/>
          <w:sz w:val="32"/>
          <w:szCs w:val="32"/>
        </w:rPr>
        <w:t>是</w:t>
      </w:r>
      <w:r w:rsidR="00731950" w:rsidRPr="001D0276">
        <w:rPr>
          <w:rFonts w:ascii="仿宋" w:eastAsia="仿宋" w:hAnsi="仿宋" w:hint="eastAsia"/>
          <w:bCs/>
          <w:sz w:val="32"/>
          <w:szCs w:val="32"/>
        </w:rPr>
        <w:t>进一步便利</w:t>
      </w:r>
      <w:r w:rsidR="00727C93" w:rsidRPr="001D0276">
        <w:rPr>
          <w:rFonts w:ascii="仿宋" w:eastAsia="仿宋" w:hAnsi="仿宋" w:hint="eastAsia"/>
          <w:bCs/>
          <w:sz w:val="32"/>
          <w:szCs w:val="32"/>
        </w:rPr>
        <w:t>贸易新业态跨境人民币结算</w:t>
      </w:r>
      <w:r w:rsidR="00731950" w:rsidRPr="001D0276">
        <w:rPr>
          <w:rFonts w:ascii="仿宋" w:eastAsia="仿宋" w:hAnsi="仿宋" w:hint="eastAsia"/>
          <w:bCs/>
          <w:sz w:val="32"/>
          <w:szCs w:val="32"/>
        </w:rPr>
        <w:t>，</w:t>
      </w:r>
      <w:r w:rsidR="004A5022" w:rsidRPr="004A5022">
        <w:rPr>
          <w:rFonts w:ascii="仿宋" w:eastAsia="仿宋" w:hAnsi="仿宋" w:hint="eastAsia"/>
          <w:bCs/>
          <w:sz w:val="32"/>
          <w:szCs w:val="32"/>
        </w:rPr>
        <w:t>支持境内银行与非银行支付机构在依法合规的前提下合作为跨境电子商务、市场采购贸易方式、外贸综合服务等市场主体提供跨境人民币</w:t>
      </w:r>
      <w:r w:rsidR="004A5022" w:rsidRPr="004A5022">
        <w:rPr>
          <w:rFonts w:ascii="仿宋" w:eastAsia="仿宋" w:hAnsi="仿宋" w:hint="eastAsia"/>
          <w:bCs/>
          <w:sz w:val="32"/>
          <w:szCs w:val="32"/>
        </w:rPr>
        <w:lastRenderedPageBreak/>
        <w:t>收付服务。</w:t>
      </w:r>
      <w:r w:rsidR="00B17A49">
        <w:rPr>
          <w:rFonts w:ascii="仿宋" w:eastAsia="仿宋" w:hAnsi="仿宋" w:hint="eastAsia"/>
          <w:b/>
          <w:bCs/>
          <w:sz w:val="32"/>
          <w:szCs w:val="32"/>
        </w:rPr>
        <w:t>三</w:t>
      </w:r>
      <w:r w:rsidR="00731950" w:rsidRPr="004A5022">
        <w:rPr>
          <w:rFonts w:ascii="仿宋" w:eastAsia="仿宋" w:hAnsi="仿宋" w:hint="eastAsia"/>
          <w:b/>
          <w:bCs/>
          <w:sz w:val="32"/>
          <w:szCs w:val="32"/>
        </w:rPr>
        <w:t>是</w:t>
      </w:r>
      <w:r w:rsidR="004A5022" w:rsidRPr="004A5022">
        <w:rPr>
          <w:rFonts w:ascii="仿宋" w:eastAsia="仿宋" w:hAnsi="仿宋" w:hint="eastAsia"/>
          <w:bCs/>
          <w:sz w:val="32"/>
          <w:szCs w:val="32"/>
        </w:rPr>
        <w:t>明确银行可</w:t>
      </w:r>
      <w:r w:rsidR="0064693E" w:rsidRPr="001D0276">
        <w:rPr>
          <w:rFonts w:ascii="仿宋_GB2312" w:eastAsia="仿宋_GB2312" w:hAnsi="仿宋_GB2312" w:cs="仿宋_GB2312" w:hint="eastAsia"/>
          <w:bCs/>
          <w:sz w:val="32"/>
          <w:szCs w:val="32"/>
          <w:shd w:val="clear" w:color="auto" w:fill="FFFFFF"/>
        </w:rPr>
        <w:t>根据商事制度改革，及时调整业务审核要求，</w:t>
      </w:r>
      <w:r w:rsidR="00995DB1" w:rsidRPr="001D0276">
        <w:rPr>
          <w:rFonts w:ascii="仿宋" w:eastAsia="仿宋" w:hAnsi="仿宋" w:hint="eastAsia"/>
          <w:sz w:val="32"/>
          <w:szCs w:val="32"/>
        </w:rPr>
        <w:t>提高跨境人民币业务</w:t>
      </w:r>
      <w:r w:rsidR="008A32F3" w:rsidRPr="001D0276">
        <w:rPr>
          <w:rFonts w:ascii="仿宋" w:eastAsia="仿宋" w:hAnsi="仿宋" w:hint="eastAsia"/>
          <w:sz w:val="32"/>
          <w:szCs w:val="32"/>
        </w:rPr>
        <w:t>的</w:t>
      </w:r>
      <w:r w:rsidR="00995DB1" w:rsidRPr="001D0276">
        <w:rPr>
          <w:rFonts w:ascii="仿宋" w:eastAsia="仿宋" w:hAnsi="仿宋" w:hint="eastAsia"/>
          <w:sz w:val="32"/>
          <w:szCs w:val="32"/>
        </w:rPr>
        <w:t>灵活度和</w:t>
      </w:r>
      <w:r w:rsidR="00FF0C4A" w:rsidRPr="001D0276">
        <w:rPr>
          <w:rFonts w:ascii="仿宋" w:eastAsia="仿宋" w:hAnsi="仿宋" w:hint="eastAsia"/>
          <w:sz w:val="32"/>
          <w:szCs w:val="32"/>
        </w:rPr>
        <w:t>便利</w:t>
      </w:r>
      <w:r w:rsidR="00995DB1" w:rsidRPr="001D0276">
        <w:rPr>
          <w:rFonts w:ascii="仿宋" w:eastAsia="仿宋" w:hAnsi="仿宋" w:hint="eastAsia"/>
          <w:sz w:val="32"/>
          <w:szCs w:val="32"/>
        </w:rPr>
        <w:t>性</w:t>
      </w:r>
      <w:r w:rsidR="00FF0C4A" w:rsidRPr="001D0276">
        <w:rPr>
          <w:rFonts w:ascii="仿宋" w:eastAsia="仿宋" w:hAnsi="仿宋" w:hint="eastAsia"/>
          <w:sz w:val="32"/>
          <w:szCs w:val="32"/>
        </w:rPr>
        <w:t>。</w:t>
      </w:r>
    </w:p>
    <w:p w:rsidR="003C71A9" w:rsidRDefault="00995DB1" w:rsidP="00C317E8">
      <w:pPr>
        <w:spacing w:line="520" w:lineRule="exact"/>
        <w:ind w:firstLine="600"/>
        <w:rPr>
          <w:rFonts w:ascii="仿宋" w:eastAsia="仿宋" w:hAnsi="仿宋" w:hint="eastAsia"/>
          <w:b/>
          <w:bCs/>
          <w:sz w:val="32"/>
          <w:szCs w:val="32"/>
        </w:rPr>
      </w:pPr>
      <w:r w:rsidRPr="00621313">
        <w:rPr>
          <w:rFonts w:ascii="仿宋" w:eastAsia="仿宋" w:hAnsi="仿宋" w:hint="eastAsia"/>
          <w:b/>
          <w:bCs/>
          <w:sz w:val="32"/>
          <w:szCs w:val="32"/>
        </w:rPr>
        <w:t>（二）</w:t>
      </w:r>
      <w:r w:rsidR="003C71A9">
        <w:rPr>
          <w:rFonts w:ascii="仿宋" w:eastAsia="仿宋" w:hAnsi="仿宋" w:hint="eastAsia"/>
          <w:b/>
          <w:bCs/>
          <w:sz w:val="32"/>
          <w:szCs w:val="32"/>
        </w:rPr>
        <w:t>关于</w:t>
      </w:r>
      <w:r w:rsidRPr="00621313">
        <w:rPr>
          <w:rFonts w:ascii="仿宋" w:eastAsia="仿宋" w:hAnsi="仿宋" w:hint="eastAsia"/>
          <w:b/>
          <w:bCs/>
          <w:sz w:val="32"/>
          <w:szCs w:val="32"/>
        </w:rPr>
        <w:t>进一步简化跨境人民币结算流程</w:t>
      </w:r>
    </w:p>
    <w:p w:rsidR="0018199D" w:rsidRPr="001D0276" w:rsidRDefault="0064693E" w:rsidP="00C317E8">
      <w:pPr>
        <w:spacing w:line="520" w:lineRule="exact"/>
        <w:ind w:firstLine="600"/>
        <w:rPr>
          <w:rFonts w:ascii="仿宋_GB2312" w:eastAsia="仿宋_GB2312" w:hAnsi="仿宋" w:hint="eastAsia"/>
          <w:sz w:val="32"/>
          <w:szCs w:val="32"/>
        </w:rPr>
      </w:pPr>
      <w:r w:rsidRPr="004A5022">
        <w:rPr>
          <w:rFonts w:ascii="仿宋_GB2312" w:eastAsia="仿宋_GB2312" w:hAnsi="仿宋" w:hint="eastAsia"/>
          <w:b/>
          <w:bCs/>
          <w:sz w:val="32"/>
          <w:szCs w:val="32"/>
        </w:rPr>
        <w:t>一是</w:t>
      </w:r>
      <w:r w:rsidRPr="001D0276">
        <w:rPr>
          <w:rFonts w:ascii="仿宋_GB2312" w:eastAsia="仿宋_GB2312" w:cs="仿宋" w:hint="eastAsia"/>
          <w:sz w:val="32"/>
          <w:szCs w:val="32"/>
        </w:rPr>
        <w:t>优化跨境人民币业务重点监管名单形成机制，提高名单形成</w:t>
      </w:r>
      <w:r w:rsidR="003C71A9">
        <w:rPr>
          <w:rFonts w:ascii="仿宋_GB2312" w:eastAsia="仿宋_GB2312" w:cs="仿宋" w:hint="eastAsia"/>
          <w:sz w:val="32"/>
          <w:szCs w:val="32"/>
        </w:rPr>
        <w:t>机制</w:t>
      </w:r>
      <w:r w:rsidRPr="001D0276">
        <w:rPr>
          <w:rFonts w:ascii="仿宋_GB2312" w:eastAsia="仿宋_GB2312" w:cs="仿宋" w:hint="eastAsia"/>
          <w:sz w:val="32"/>
          <w:szCs w:val="32"/>
        </w:rPr>
        <w:t>的科学性</w:t>
      </w:r>
      <w:r w:rsidR="003C71A9">
        <w:rPr>
          <w:rFonts w:ascii="仿宋_GB2312" w:eastAsia="仿宋_GB2312" w:cs="仿宋" w:hint="eastAsia"/>
          <w:sz w:val="32"/>
          <w:szCs w:val="32"/>
        </w:rPr>
        <w:t>和调整的灵活性</w:t>
      </w:r>
      <w:r w:rsidRPr="001D0276">
        <w:rPr>
          <w:rFonts w:ascii="仿宋_GB2312" w:eastAsia="仿宋_GB2312" w:cs="仿宋" w:hint="eastAsia"/>
          <w:sz w:val="32"/>
          <w:szCs w:val="32"/>
        </w:rPr>
        <w:t>，</w:t>
      </w:r>
      <w:r w:rsidR="00E71B9C" w:rsidRPr="001D0276">
        <w:rPr>
          <w:rFonts w:ascii="仿宋_GB2312" w:eastAsia="仿宋_GB2312" w:cs="仿宋" w:hint="eastAsia"/>
          <w:sz w:val="32"/>
          <w:szCs w:val="32"/>
        </w:rPr>
        <w:t>支持外贸企业发展。</w:t>
      </w:r>
      <w:r w:rsidRPr="004A5022">
        <w:rPr>
          <w:rFonts w:ascii="仿宋_GB2312" w:eastAsia="仿宋_GB2312" w:hAnsi="仿宋" w:hint="eastAsia"/>
          <w:b/>
          <w:sz w:val="32"/>
          <w:szCs w:val="32"/>
        </w:rPr>
        <w:t>二是</w:t>
      </w:r>
      <w:r w:rsidR="004248D2" w:rsidRPr="001D0276">
        <w:rPr>
          <w:rFonts w:ascii="仿宋_GB2312" w:eastAsia="仿宋_GB2312" w:hAnsi="仿宋_GB2312" w:cs="仿宋_GB2312" w:hint="eastAsia"/>
          <w:bCs/>
          <w:sz w:val="32"/>
          <w:szCs w:val="32"/>
          <w:shd w:val="clear" w:color="auto" w:fill="FFFFFF"/>
        </w:rPr>
        <w:t>支持</w:t>
      </w:r>
      <w:r w:rsidR="00F970A2" w:rsidRPr="001D0276">
        <w:rPr>
          <w:rFonts w:ascii="仿宋_GB2312" w:eastAsia="仿宋_GB2312" w:cs="仿宋" w:hint="eastAsia"/>
          <w:sz w:val="32"/>
          <w:szCs w:val="32"/>
        </w:rPr>
        <w:t>银行通过</w:t>
      </w:r>
      <w:r w:rsidR="00F970A2" w:rsidRPr="001D0276">
        <w:rPr>
          <w:rFonts w:ascii="仿宋_GB2312" w:eastAsia="仿宋_GB2312" w:hAnsi="仿宋_GB2312" w:cs="仿宋_GB2312" w:hint="eastAsia"/>
          <w:bCs/>
          <w:sz w:val="32"/>
          <w:szCs w:val="32"/>
          <w:shd w:val="clear" w:color="auto" w:fill="FFFFFF"/>
        </w:rPr>
        <w:t>审核</w:t>
      </w:r>
      <w:r w:rsidR="004248D2" w:rsidRPr="001D0276">
        <w:rPr>
          <w:rFonts w:ascii="仿宋_GB2312" w:eastAsia="仿宋_GB2312" w:hAnsi="仿宋_GB2312" w:cs="仿宋_GB2312" w:hint="eastAsia"/>
          <w:bCs/>
          <w:sz w:val="32"/>
          <w:szCs w:val="32"/>
          <w:shd w:val="clear" w:color="auto" w:fill="FFFFFF"/>
        </w:rPr>
        <w:t>电子化</w:t>
      </w:r>
      <w:r w:rsidR="00F970A2" w:rsidRPr="001D0276">
        <w:rPr>
          <w:rFonts w:ascii="仿宋_GB2312" w:eastAsia="仿宋_GB2312" w:hAnsi="仿宋_GB2312" w:cs="仿宋_GB2312" w:hint="eastAsia"/>
          <w:bCs/>
          <w:sz w:val="32"/>
          <w:szCs w:val="32"/>
          <w:shd w:val="clear" w:color="auto" w:fill="FFFFFF"/>
        </w:rPr>
        <w:t>单证为企业办理跨境人民币结算业务，简化业务办理流程，</w:t>
      </w:r>
      <w:r w:rsidR="004248D2" w:rsidRPr="001D0276">
        <w:rPr>
          <w:rFonts w:ascii="仿宋_GB2312" w:eastAsia="仿宋_GB2312" w:hAnsi="Times New Roman" w:cs="仿宋" w:hint="eastAsia"/>
          <w:sz w:val="32"/>
          <w:szCs w:val="32"/>
        </w:rPr>
        <w:t>降低企业脚底成本。</w:t>
      </w:r>
      <w:r w:rsidR="00F970A2" w:rsidRPr="004A5022">
        <w:rPr>
          <w:rFonts w:ascii="仿宋_GB2312" w:eastAsia="仿宋_GB2312" w:hAnsi="仿宋_GB2312" w:cs="仿宋_GB2312" w:hint="eastAsia"/>
          <w:b/>
          <w:bCs/>
          <w:sz w:val="32"/>
          <w:szCs w:val="32"/>
          <w:shd w:val="clear" w:color="auto" w:fill="FFFFFF"/>
        </w:rPr>
        <w:t>三是</w:t>
      </w:r>
      <w:r w:rsidR="00A75656" w:rsidRPr="001D0276">
        <w:rPr>
          <w:rFonts w:ascii="仿宋_GB2312" w:eastAsia="仿宋_GB2312" w:hAnsi="仿宋_GB2312" w:cs="仿宋_GB2312" w:hint="eastAsia"/>
          <w:sz w:val="32"/>
          <w:szCs w:val="32"/>
          <w:shd w:val="clear" w:color="auto" w:fill="FFFFFF"/>
        </w:rPr>
        <w:t>优化</w:t>
      </w:r>
      <w:r w:rsidR="00F13F38" w:rsidRPr="001D0276">
        <w:rPr>
          <w:rFonts w:ascii="仿宋_GB2312" w:eastAsia="仿宋_GB2312" w:hAnsi="仿宋_GB2312" w:cs="仿宋_GB2312" w:hint="eastAsia"/>
          <w:sz w:val="32"/>
          <w:szCs w:val="32"/>
          <w:shd w:val="clear" w:color="auto" w:fill="FFFFFF"/>
        </w:rPr>
        <w:t>跨国企业集团</w:t>
      </w:r>
      <w:r w:rsidR="00A75656" w:rsidRPr="001D0276">
        <w:rPr>
          <w:rFonts w:ascii="仿宋_GB2312" w:eastAsia="仿宋_GB2312" w:hAnsi="仿宋_GB2312" w:cs="仿宋_GB2312" w:hint="eastAsia"/>
          <w:sz w:val="32"/>
          <w:szCs w:val="32"/>
          <w:shd w:val="clear" w:color="auto" w:fill="FFFFFF"/>
        </w:rPr>
        <w:t>经常项下跨境人民币集中收付安排</w:t>
      </w:r>
      <w:r w:rsidR="00F970A2" w:rsidRPr="001D0276">
        <w:rPr>
          <w:rFonts w:ascii="仿宋_GB2312" w:eastAsia="仿宋_GB2312" w:hAnsi="仿宋_GB2312" w:cs="仿宋_GB2312" w:hint="eastAsia"/>
          <w:sz w:val="32"/>
          <w:szCs w:val="32"/>
          <w:shd w:val="clear" w:color="auto" w:fill="FFFFFF"/>
        </w:rPr>
        <w:t>，允许</w:t>
      </w:r>
      <w:r w:rsidR="00A75656" w:rsidRPr="001D0276">
        <w:rPr>
          <w:rFonts w:ascii="仿宋_GB2312" w:eastAsia="仿宋_GB2312" w:hAnsi="仿宋_GB2312" w:cs="仿宋_GB2312" w:hint="eastAsia"/>
          <w:sz w:val="32"/>
          <w:szCs w:val="32"/>
          <w:shd w:val="clear" w:color="auto" w:fill="FFFFFF"/>
        </w:rPr>
        <w:t>异地</w:t>
      </w:r>
      <w:r w:rsidR="00F970A2" w:rsidRPr="001D0276">
        <w:rPr>
          <w:rFonts w:ascii="仿宋_GB2312" w:eastAsia="仿宋_GB2312" w:hAnsi="仿宋_GB2312" w:cs="仿宋_GB2312" w:hint="eastAsia"/>
          <w:sz w:val="32"/>
          <w:szCs w:val="32"/>
          <w:shd w:val="clear" w:color="auto" w:fill="FFFFFF"/>
        </w:rPr>
        <w:t>开</w:t>
      </w:r>
      <w:r w:rsidR="00A75656" w:rsidRPr="001D0276">
        <w:rPr>
          <w:rFonts w:ascii="仿宋_GB2312" w:eastAsia="仿宋_GB2312" w:hAnsi="仿宋_GB2312" w:cs="仿宋_GB2312" w:hint="eastAsia"/>
          <w:sz w:val="32"/>
          <w:szCs w:val="32"/>
          <w:shd w:val="clear" w:color="auto" w:fill="FFFFFF"/>
        </w:rPr>
        <w:t>户办理业务。</w:t>
      </w:r>
      <w:r w:rsidR="00C317E8" w:rsidRPr="004A5022">
        <w:rPr>
          <w:rFonts w:ascii="仿宋_GB2312" w:eastAsia="仿宋_GB2312" w:hAnsi="仿宋" w:hint="eastAsia"/>
          <w:b/>
          <w:sz w:val="32"/>
          <w:szCs w:val="32"/>
        </w:rPr>
        <w:t>四是</w:t>
      </w:r>
      <w:r w:rsidR="00E71B9C" w:rsidRPr="001D0276">
        <w:rPr>
          <w:rFonts w:ascii="仿宋_GB2312" w:eastAsia="仿宋_GB2312" w:hAnsi="仿宋_GB2312" w:cs="仿宋_GB2312" w:hint="eastAsia"/>
          <w:bCs/>
          <w:sz w:val="32"/>
          <w:szCs w:val="32"/>
          <w:shd w:val="clear" w:color="auto" w:fill="FFFFFF"/>
        </w:rPr>
        <w:t>在全国范围内开展对外承包工程类优质企业跨境人民币结算业务便利化试点。</w:t>
      </w:r>
    </w:p>
    <w:p w:rsidR="003C71A9" w:rsidRDefault="00357138" w:rsidP="00A97DEE">
      <w:pPr>
        <w:spacing w:line="520" w:lineRule="exact"/>
        <w:ind w:firstLineChars="200" w:firstLine="693"/>
        <w:rPr>
          <w:rFonts w:ascii="仿宋" w:eastAsia="仿宋" w:hAnsi="仿宋" w:hint="eastAsia"/>
          <w:b/>
          <w:sz w:val="32"/>
          <w:szCs w:val="32"/>
        </w:rPr>
      </w:pPr>
      <w:r w:rsidRPr="00621313">
        <w:rPr>
          <w:rFonts w:ascii="仿宋" w:eastAsia="仿宋" w:hAnsi="仿宋" w:hint="eastAsia"/>
          <w:b/>
          <w:sz w:val="32"/>
          <w:szCs w:val="32"/>
        </w:rPr>
        <w:t>（三）</w:t>
      </w:r>
      <w:r w:rsidR="003C71A9">
        <w:rPr>
          <w:rFonts w:ascii="仿宋" w:eastAsia="仿宋" w:hAnsi="仿宋" w:hint="eastAsia"/>
          <w:b/>
          <w:sz w:val="32"/>
          <w:szCs w:val="32"/>
        </w:rPr>
        <w:t>关于</w:t>
      </w:r>
      <w:r w:rsidRPr="00621313">
        <w:rPr>
          <w:rFonts w:ascii="仿宋" w:eastAsia="仿宋" w:hAnsi="仿宋" w:hint="eastAsia"/>
          <w:b/>
          <w:sz w:val="32"/>
          <w:szCs w:val="32"/>
        </w:rPr>
        <w:t>优化跨境人民币投融资管理</w:t>
      </w:r>
    </w:p>
    <w:p w:rsidR="00076C81" w:rsidRPr="001D0276" w:rsidRDefault="00C317E8" w:rsidP="00A97DEE">
      <w:pPr>
        <w:spacing w:line="520" w:lineRule="exact"/>
        <w:ind w:firstLineChars="200" w:firstLine="693"/>
        <w:rPr>
          <w:rFonts w:ascii="Times New Roman" w:eastAsia="仿宋_GB2312" w:hAnsi="Times New Roman" w:cs="仿宋_GB2312"/>
          <w:bCs/>
          <w:sz w:val="32"/>
          <w:szCs w:val="32"/>
        </w:rPr>
      </w:pPr>
      <w:r w:rsidRPr="004A5022">
        <w:rPr>
          <w:rFonts w:ascii="仿宋" w:eastAsia="仿宋" w:hAnsi="仿宋" w:hint="eastAsia"/>
          <w:b/>
          <w:sz w:val="32"/>
          <w:szCs w:val="32"/>
        </w:rPr>
        <w:t>一是</w:t>
      </w:r>
      <w:r w:rsidR="0018199D" w:rsidRPr="001D0276">
        <w:rPr>
          <w:rFonts w:ascii="仿宋_GB2312" w:eastAsia="仿宋_GB2312" w:hAnsi="仿宋_GB2312" w:cs="仿宋_GB2312" w:hint="eastAsia"/>
          <w:sz w:val="32"/>
          <w:szCs w:val="32"/>
          <w:shd w:val="clear" w:color="auto" w:fill="FFFFFF"/>
        </w:rPr>
        <w:t>放宽</w:t>
      </w:r>
      <w:r w:rsidR="00FB43C0" w:rsidRPr="001D0276">
        <w:rPr>
          <w:rFonts w:ascii="仿宋_GB2312" w:eastAsia="仿宋_GB2312" w:hAnsi="仿宋_GB2312" w:cs="仿宋_GB2312" w:hint="eastAsia"/>
          <w:sz w:val="32"/>
          <w:szCs w:val="32"/>
          <w:shd w:val="clear" w:color="auto" w:fill="FFFFFF"/>
        </w:rPr>
        <w:t>部分</w:t>
      </w:r>
      <w:r w:rsidR="0018199D" w:rsidRPr="001D0276">
        <w:rPr>
          <w:rFonts w:ascii="仿宋_GB2312" w:eastAsia="仿宋_GB2312" w:hAnsi="仿宋_GB2312" w:cs="仿宋_GB2312" w:hint="eastAsia"/>
          <w:sz w:val="32"/>
          <w:szCs w:val="32"/>
          <w:shd w:val="clear" w:color="auto" w:fill="FFFFFF"/>
        </w:rPr>
        <w:t>资本项目人民币收入使用限制</w:t>
      </w:r>
      <w:r w:rsidRPr="001D0276">
        <w:rPr>
          <w:rFonts w:ascii="仿宋_GB2312" w:eastAsia="仿宋_GB2312" w:hAnsi="仿宋_GB2312" w:cs="仿宋_GB2312" w:hint="eastAsia"/>
          <w:sz w:val="32"/>
          <w:szCs w:val="32"/>
          <w:shd w:val="clear" w:color="auto" w:fill="FFFFFF"/>
        </w:rPr>
        <w:t>，增加外资企业资金使用的灵活性</w:t>
      </w:r>
      <w:r w:rsidR="004A5022">
        <w:rPr>
          <w:rFonts w:ascii="仿宋_GB2312" w:eastAsia="仿宋_GB2312" w:hAnsi="仿宋_GB2312" w:cs="仿宋_GB2312" w:hint="eastAsia"/>
          <w:sz w:val="32"/>
          <w:szCs w:val="32"/>
          <w:shd w:val="clear" w:color="auto" w:fill="FFFFFF"/>
        </w:rPr>
        <w:t>和自主性</w:t>
      </w:r>
      <w:r w:rsidRPr="001D0276">
        <w:rPr>
          <w:rFonts w:ascii="仿宋_GB2312" w:eastAsia="仿宋_GB2312" w:hAnsi="仿宋_GB2312" w:cs="仿宋_GB2312" w:hint="eastAsia"/>
          <w:sz w:val="32"/>
          <w:szCs w:val="32"/>
          <w:shd w:val="clear" w:color="auto" w:fill="FFFFFF"/>
        </w:rPr>
        <w:t>，</w:t>
      </w:r>
      <w:r w:rsidR="002C6294" w:rsidRPr="001D0276">
        <w:rPr>
          <w:rFonts w:ascii="Times New Roman" w:eastAsia="仿宋_GB2312" w:hAnsi="Times New Roman" w:cs="仿宋" w:hint="eastAsia"/>
          <w:sz w:val="32"/>
          <w:szCs w:val="32"/>
        </w:rPr>
        <w:t>满足合理的资金管理需求。</w:t>
      </w:r>
      <w:r w:rsidRPr="004A5022">
        <w:rPr>
          <w:rFonts w:ascii="仿宋" w:eastAsia="仿宋" w:hAnsi="仿宋" w:hint="eastAsia"/>
          <w:b/>
          <w:sz w:val="32"/>
          <w:szCs w:val="32"/>
        </w:rPr>
        <w:t>二是</w:t>
      </w:r>
      <w:r w:rsidR="00CF4BFF" w:rsidRPr="001D0276">
        <w:rPr>
          <w:rFonts w:eastAsia="仿宋_GB2312" w:cs="仿宋" w:hint="eastAsia"/>
          <w:sz w:val="32"/>
          <w:szCs w:val="32"/>
        </w:rPr>
        <w:t>取消非投资类外商投资企业人民币资本金境内再投资限制。</w:t>
      </w:r>
      <w:r w:rsidRPr="004A5022">
        <w:rPr>
          <w:rFonts w:ascii="仿宋" w:eastAsia="仿宋" w:hAnsi="仿宋" w:hint="eastAsia"/>
          <w:b/>
          <w:sz w:val="32"/>
          <w:szCs w:val="32"/>
        </w:rPr>
        <w:t>三是</w:t>
      </w:r>
      <w:r w:rsidR="002C6294" w:rsidRPr="001D0276">
        <w:rPr>
          <w:rFonts w:ascii="仿宋_GB2312" w:eastAsia="仿宋_GB2312" w:hAnsi="仿宋_GB2312" w:cs="仿宋_GB2312" w:hint="eastAsia"/>
          <w:sz w:val="32"/>
          <w:szCs w:val="32"/>
          <w:shd w:val="clear" w:color="auto" w:fill="FFFFFF"/>
        </w:rPr>
        <w:t>取消外商投资相关业务专户管理要求</w:t>
      </w:r>
      <w:r w:rsidRPr="001D0276">
        <w:rPr>
          <w:rFonts w:ascii="仿宋_GB2312" w:eastAsia="仿宋_GB2312" w:hAnsi="仿宋_GB2312" w:cs="仿宋_GB2312" w:hint="eastAsia"/>
          <w:sz w:val="32"/>
          <w:szCs w:val="32"/>
          <w:shd w:val="clear" w:color="auto" w:fill="FFFFFF"/>
        </w:rPr>
        <w:t>，便利再投资、股权转让、</w:t>
      </w:r>
      <w:r w:rsidR="004A5022">
        <w:rPr>
          <w:rFonts w:ascii="仿宋_GB2312" w:eastAsia="仿宋_GB2312" w:hAnsi="仿宋_GB2312" w:cs="仿宋_GB2312" w:hint="eastAsia"/>
          <w:sz w:val="32"/>
          <w:szCs w:val="32"/>
          <w:shd w:val="clear" w:color="auto" w:fill="FFFFFF"/>
        </w:rPr>
        <w:t>跨境</w:t>
      </w:r>
      <w:r w:rsidRPr="001D0276">
        <w:rPr>
          <w:rFonts w:ascii="仿宋_GB2312" w:eastAsia="仿宋_GB2312" w:hAnsi="仿宋_GB2312" w:cs="仿宋_GB2312" w:hint="eastAsia"/>
          <w:sz w:val="32"/>
          <w:szCs w:val="32"/>
          <w:shd w:val="clear" w:color="auto" w:fill="FFFFFF"/>
        </w:rPr>
        <w:t>并购等业务开展。</w:t>
      </w:r>
      <w:r w:rsidRPr="004A5022">
        <w:rPr>
          <w:rFonts w:ascii="仿宋_GB2312" w:eastAsia="仿宋_GB2312" w:hAnsi="仿宋_GB2312" w:cs="仿宋_GB2312" w:hint="eastAsia"/>
          <w:b/>
          <w:sz w:val="32"/>
          <w:szCs w:val="32"/>
          <w:shd w:val="clear" w:color="auto" w:fill="FFFFFF"/>
        </w:rPr>
        <w:t>四是</w:t>
      </w:r>
      <w:r w:rsidR="00E06CBC" w:rsidRPr="001D0276">
        <w:rPr>
          <w:rFonts w:ascii="仿宋_GB2312" w:eastAsia="仿宋_GB2312" w:hAnsi="仿宋_GB2312" w:cs="仿宋_GB2312" w:hint="eastAsia"/>
          <w:sz w:val="32"/>
          <w:szCs w:val="32"/>
          <w:shd w:val="clear" w:color="auto" w:fill="FFFFFF"/>
        </w:rPr>
        <w:t>优化境内企业境外人民币借款业务管理</w:t>
      </w:r>
      <w:r w:rsidRPr="001D0276">
        <w:rPr>
          <w:rFonts w:ascii="仿宋_GB2312" w:eastAsia="仿宋_GB2312" w:hAnsi="仿宋_GB2312" w:cs="仿宋_GB2312" w:hint="eastAsia"/>
          <w:sz w:val="32"/>
          <w:szCs w:val="32"/>
          <w:shd w:val="clear" w:color="auto" w:fill="FFFFFF"/>
        </w:rPr>
        <w:t>，</w:t>
      </w:r>
      <w:r w:rsidR="007E323F" w:rsidRPr="001D0276">
        <w:rPr>
          <w:rFonts w:ascii="仿宋" w:eastAsia="仿宋" w:hAnsi="仿宋" w:hint="eastAsia"/>
          <w:sz w:val="32"/>
          <w:szCs w:val="32"/>
        </w:rPr>
        <w:t>放宽人民币外债户开户数量限制，</w:t>
      </w:r>
      <w:r w:rsidR="00357138" w:rsidRPr="001D0276">
        <w:rPr>
          <w:rFonts w:ascii="仿宋" w:eastAsia="仿宋" w:hAnsi="仿宋" w:hint="eastAsia"/>
          <w:sz w:val="32"/>
          <w:szCs w:val="32"/>
        </w:rPr>
        <w:t>赋予企业账户管理自主权</w:t>
      </w:r>
      <w:r w:rsidR="004A5022">
        <w:rPr>
          <w:rFonts w:ascii="仿宋" w:eastAsia="仿宋" w:hAnsi="仿宋" w:hint="eastAsia"/>
          <w:sz w:val="32"/>
          <w:szCs w:val="32"/>
        </w:rPr>
        <w:t>，取消</w:t>
      </w:r>
      <w:r w:rsidR="004A5022" w:rsidRPr="004A5022">
        <w:rPr>
          <w:rFonts w:ascii="仿宋" w:eastAsia="仿宋" w:hAnsi="仿宋" w:hint="eastAsia"/>
          <w:sz w:val="32"/>
          <w:szCs w:val="32"/>
        </w:rPr>
        <w:t>签约币种</w:t>
      </w:r>
      <w:r w:rsidR="004A5022">
        <w:rPr>
          <w:rFonts w:ascii="仿宋" w:eastAsia="仿宋" w:hAnsi="仿宋" w:hint="eastAsia"/>
          <w:sz w:val="32"/>
          <w:szCs w:val="32"/>
        </w:rPr>
        <w:t>须与提款币种和偿还币种</w:t>
      </w:r>
      <w:r w:rsidR="004A5022" w:rsidRPr="004A5022">
        <w:rPr>
          <w:rFonts w:ascii="仿宋" w:eastAsia="仿宋" w:hAnsi="仿宋" w:hint="eastAsia"/>
          <w:sz w:val="32"/>
          <w:szCs w:val="32"/>
        </w:rPr>
        <w:t>一致</w:t>
      </w:r>
      <w:r w:rsidR="004A5022">
        <w:rPr>
          <w:rFonts w:ascii="仿宋" w:eastAsia="仿宋" w:hAnsi="仿宋" w:hint="eastAsia"/>
          <w:sz w:val="32"/>
          <w:szCs w:val="32"/>
        </w:rPr>
        <w:t>的要求</w:t>
      </w:r>
      <w:r w:rsidR="004A5022" w:rsidRPr="004A5022">
        <w:rPr>
          <w:rFonts w:ascii="仿宋" w:eastAsia="仿宋" w:hAnsi="仿宋" w:hint="eastAsia"/>
          <w:sz w:val="32"/>
          <w:szCs w:val="32"/>
        </w:rPr>
        <w:t>。</w:t>
      </w:r>
      <w:r w:rsidRPr="004A5022">
        <w:rPr>
          <w:rFonts w:ascii="仿宋" w:eastAsia="仿宋" w:hAnsi="仿宋" w:hint="eastAsia"/>
          <w:b/>
          <w:sz w:val="32"/>
          <w:szCs w:val="32"/>
        </w:rPr>
        <w:t>五是</w:t>
      </w:r>
      <w:r w:rsidRPr="001D0276">
        <w:rPr>
          <w:rFonts w:ascii="仿宋_GB2312" w:eastAsia="仿宋_GB2312" w:hAnsi="仿宋_GB2312" w:cs="仿宋_GB2312" w:hint="eastAsia"/>
          <w:sz w:val="32"/>
          <w:szCs w:val="32"/>
          <w:shd w:val="clear" w:color="auto" w:fill="FFFFFF"/>
        </w:rPr>
        <w:t>简化</w:t>
      </w:r>
      <w:r w:rsidR="00A656F1" w:rsidRPr="001D0276">
        <w:rPr>
          <w:rFonts w:ascii="仿宋_GB2312" w:eastAsia="仿宋_GB2312" w:hAnsi="仿宋_GB2312" w:cs="仿宋_GB2312" w:hint="eastAsia"/>
          <w:sz w:val="32"/>
          <w:szCs w:val="32"/>
          <w:shd w:val="clear" w:color="auto" w:fill="FFFFFF"/>
        </w:rPr>
        <w:t>境内企业人民币境外放款业务管理</w:t>
      </w:r>
      <w:r w:rsidRPr="001D0276">
        <w:rPr>
          <w:rFonts w:ascii="仿宋_GB2312" w:eastAsia="仿宋_GB2312" w:hAnsi="仿宋_GB2312" w:cs="仿宋_GB2312" w:hint="eastAsia"/>
          <w:sz w:val="32"/>
          <w:szCs w:val="32"/>
          <w:shd w:val="clear" w:color="auto" w:fill="FFFFFF"/>
        </w:rPr>
        <w:t>，</w:t>
      </w:r>
      <w:r w:rsidR="004A5022" w:rsidRPr="004A5022">
        <w:rPr>
          <w:rFonts w:ascii="仿宋" w:eastAsia="仿宋" w:hAnsi="仿宋" w:hint="eastAsia"/>
          <w:sz w:val="32"/>
          <w:szCs w:val="32"/>
        </w:rPr>
        <w:t>将币种转换因子调整为0.5，与《中国人民银行关于全口径跨境融资宏观审慎管理有关事宜的通知》（银发[2017]9</w:t>
      </w:r>
      <w:r w:rsidR="004A5022">
        <w:rPr>
          <w:rFonts w:ascii="仿宋" w:eastAsia="仿宋" w:hAnsi="仿宋" w:hint="eastAsia"/>
          <w:sz w:val="32"/>
          <w:szCs w:val="32"/>
        </w:rPr>
        <w:t>号）相关规定保持一致，</w:t>
      </w:r>
      <w:r w:rsidR="00F21577">
        <w:rPr>
          <w:rFonts w:ascii="仿宋" w:eastAsia="仿宋" w:hAnsi="仿宋" w:hint="eastAsia"/>
          <w:sz w:val="32"/>
          <w:szCs w:val="32"/>
        </w:rPr>
        <w:t>同时</w:t>
      </w:r>
      <w:r w:rsidR="00561D48" w:rsidRPr="001D0276">
        <w:rPr>
          <w:rFonts w:ascii="Times New Roman" w:eastAsia="仿宋_GB2312" w:hAnsi="Times New Roman" w:cs="仿宋" w:hint="eastAsia"/>
          <w:bCs/>
          <w:sz w:val="32"/>
          <w:szCs w:val="32"/>
        </w:rPr>
        <w:t>明确</w:t>
      </w:r>
      <w:r w:rsidR="00F21577">
        <w:rPr>
          <w:rFonts w:ascii="Times New Roman" w:eastAsia="仿宋_GB2312" w:hAnsi="Times New Roman" w:cs="仿宋" w:hint="eastAsia"/>
          <w:bCs/>
          <w:sz w:val="32"/>
          <w:szCs w:val="32"/>
        </w:rPr>
        <w:t>了</w:t>
      </w:r>
      <w:r w:rsidR="00561D48" w:rsidRPr="001D0276">
        <w:rPr>
          <w:rFonts w:ascii="Times New Roman" w:eastAsia="仿宋_GB2312" w:hAnsi="Times New Roman" w:cs="仿宋" w:hint="eastAsia"/>
          <w:bCs/>
          <w:sz w:val="32"/>
          <w:szCs w:val="32"/>
        </w:rPr>
        <w:t>人民币境外放款转为股权投资的相关规定</w:t>
      </w:r>
      <w:r w:rsidR="007E323F" w:rsidRPr="001D0276">
        <w:rPr>
          <w:rFonts w:ascii="Times New Roman" w:eastAsia="仿宋_GB2312" w:hAnsi="Times New Roman" w:cs="仿宋" w:hint="eastAsia"/>
          <w:bCs/>
          <w:sz w:val="32"/>
          <w:szCs w:val="32"/>
        </w:rPr>
        <w:t>。</w:t>
      </w:r>
    </w:p>
    <w:p w:rsidR="003C71A9" w:rsidRDefault="00357138" w:rsidP="00C317E8">
      <w:pPr>
        <w:pStyle w:val="a8"/>
        <w:shd w:val="clear" w:color="auto" w:fill="FFFFFF"/>
        <w:spacing w:before="0" w:beforeAutospacing="0" w:after="0" w:afterAutospacing="0" w:line="520" w:lineRule="exact"/>
        <w:ind w:firstLine="601"/>
        <w:rPr>
          <w:rFonts w:ascii="仿宋" w:eastAsia="仿宋" w:hAnsi="仿宋" w:hint="eastAsia"/>
          <w:b/>
          <w:sz w:val="32"/>
          <w:szCs w:val="32"/>
        </w:rPr>
      </w:pPr>
      <w:r w:rsidRPr="00621313">
        <w:rPr>
          <w:rFonts w:ascii="仿宋" w:eastAsia="仿宋" w:hAnsi="仿宋" w:hint="eastAsia"/>
          <w:b/>
          <w:sz w:val="32"/>
          <w:szCs w:val="32"/>
        </w:rPr>
        <w:t>（四）</w:t>
      </w:r>
      <w:r w:rsidR="003C71A9">
        <w:rPr>
          <w:rFonts w:ascii="仿宋" w:eastAsia="仿宋" w:hAnsi="仿宋" w:hint="eastAsia"/>
          <w:b/>
          <w:sz w:val="32"/>
          <w:szCs w:val="32"/>
        </w:rPr>
        <w:t>关于</w:t>
      </w:r>
      <w:r w:rsidRPr="00621313">
        <w:rPr>
          <w:rFonts w:ascii="仿宋" w:eastAsia="仿宋" w:hAnsi="仿宋" w:hint="eastAsia"/>
          <w:b/>
          <w:sz w:val="32"/>
          <w:szCs w:val="32"/>
        </w:rPr>
        <w:t>便利个人经常项下人民币跨境收付</w:t>
      </w:r>
    </w:p>
    <w:p w:rsidR="00076C81" w:rsidRPr="001D0276" w:rsidRDefault="00C317E8" w:rsidP="00C317E8">
      <w:pPr>
        <w:pStyle w:val="a8"/>
        <w:shd w:val="clear" w:color="auto" w:fill="FFFFFF"/>
        <w:spacing w:before="0" w:beforeAutospacing="0" w:after="0" w:afterAutospacing="0" w:line="520" w:lineRule="exact"/>
        <w:ind w:firstLine="601"/>
        <w:rPr>
          <w:rFonts w:ascii="仿宋_GB2312" w:eastAsia="仿宋_GB2312" w:hAnsi="仿宋_GB2312" w:cs="仿宋_GB2312"/>
          <w:bCs/>
          <w:sz w:val="32"/>
          <w:szCs w:val="32"/>
          <w:shd w:val="clear" w:color="auto" w:fill="FFFFFF"/>
        </w:rPr>
      </w:pPr>
      <w:r w:rsidRPr="00C701D3">
        <w:rPr>
          <w:rFonts w:ascii="仿宋" w:eastAsia="仿宋" w:hAnsi="仿宋" w:hint="eastAsia"/>
          <w:b/>
          <w:sz w:val="32"/>
          <w:szCs w:val="32"/>
        </w:rPr>
        <w:t>一是</w:t>
      </w:r>
      <w:r w:rsidR="00C701D3">
        <w:rPr>
          <w:rFonts w:ascii="仿宋_GB2312" w:eastAsia="仿宋_GB2312" w:hAnsi="仿宋_GB2312" w:cs="仿宋_GB2312" w:hint="eastAsia"/>
          <w:sz w:val="32"/>
          <w:szCs w:val="32"/>
          <w:shd w:val="clear" w:color="auto" w:fill="FFFFFF"/>
        </w:rPr>
        <w:t>鼓励</w:t>
      </w:r>
      <w:r w:rsidR="00187EF8" w:rsidRPr="001D0276">
        <w:rPr>
          <w:rFonts w:ascii="仿宋_GB2312" w:eastAsia="仿宋_GB2312" w:hAnsi="仿宋_GB2312" w:cs="仿宋_GB2312" w:hint="eastAsia"/>
          <w:sz w:val="32"/>
          <w:szCs w:val="32"/>
          <w:shd w:val="clear" w:color="auto" w:fill="FFFFFF"/>
        </w:rPr>
        <w:t>境内银行在“展业三原则”的基础上，</w:t>
      </w:r>
      <w:r w:rsidR="00C701D3">
        <w:rPr>
          <w:rFonts w:ascii="仿宋_GB2312" w:eastAsia="仿宋_GB2312" w:hAnsi="仿宋_GB2312" w:cs="仿宋_GB2312" w:hint="eastAsia"/>
          <w:sz w:val="32"/>
          <w:szCs w:val="32"/>
          <w:shd w:val="clear" w:color="auto" w:fill="FFFFFF"/>
        </w:rPr>
        <w:t>根据个人跨境人民币业务政策新规制定相应的</w:t>
      </w:r>
      <w:r w:rsidR="00F20FDE">
        <w:rPr>
          <w:rFonts w:ascii="仿宋_GB2312" w:eastAsia="仿宋_GB2312" w:hAnsi="仿宋_GB2312" w:cs="仿宋_GB2312" w:hint="eastAsia"/>
          <w:sz w:val="32"/>
          <w:szCs w:val="32"/>
          <w:shd w:val="clear" w:color="auto" w:fill="FFFFFF"/>
        </w:rPr>
        <w:t>内部风险控制和</w:t>
      </w:r>
      <w:r w:rsidR="00C701D3">
        <w:rPr>
          <w:rFonts w:ascii="仿宋_GB2312" w:eastAsia="仿宋_GB2312" w:hAnsi="仿宋_GB2312" w:cs="仿宋_GB2312" w:hint="eastAsia"/>
          <w:sz w:val="32"/>
          <w:szCs w:val="32"/>
          <w:shd w:val="clear" w:color="auto" w:fill="FFFFFF"/>
        </w:rPr>
        <w:t>操作</w:t>
      </w:r>
      <w:r w:rsidR="00C701D3">
        <w:rPr>
          <w:rFonts w:ascii="仿宋_GB2312" w:eastAsia="仿宋_GB2312" w:hAnsi="仿宋_GB2312" w:cs="仿宋_GB2312" w:hint="eastAsia"/>
          <w:sz w:val="32"/>
          <w:szCs w:val="32"/>
          <w:shd w:val="clear" w:color="auto" w:fill="FFFFFF"/>
        </w:rPr>
        <w:lastRenderedPageBreak/>
        <w:t>流程，</w:t>
      </w:r>
      <w:r w:rsidR="00187EF8" w:rsidRPr="001D0276">
        <w:rPr>
          <w:rFonts w:ascii="仿宋_GB2312" w:eastAsia="仿宋_GB2312" w:hAnsi="仿宋_GB2312" w:cs="仿宋_GB2312" w:hint="eastAsia"/>
          <w:sz w:val="32"/>
          <w:szCs w:val="32"/>
          <w:shd w:val="clear" w:color="auto" w:fill="FFFFFF"/>
        </w:rPr>
        <w:t>进一步便利个人薪酬等合法合规收入跨境</w:t>
      </w:r>
      <w:r w:rsidR="002F7DF1">
        <w:rPr>
          <w:rFonts w:ascii="仿宋_GB2312" w:eastAsia="仿宋_GB2312" w:hAnsi="仿宋_GB2312" w:cs="仿宋_GB2312" w:hint="eastAsia"/>
          <w:sz w:val="32"/>
          <w:szCs w:val="32"/>
          <w:shd w:val="clear" w:color="auto" w:fill="FFFFFF"/>
        </w:rPr>
        <w:t>汇款</w:t>
      </w:r>
      <w:r w:rsidR="00187EF8" w:rsidRPr="001D0276">
        <w:rPr>
          <w:rFonts w:ascii="仿宋_GB2312" w:eastAsia="仿宋_GB2312" w:hAnsi="仿宋_GB2312" w:cs="仿宋_GB2312" w:hint="eastAsia"/>
          <w:sz w:val="32"/>
          <w:szCs w:val="32"/>
          <w:shd w:val="clear" w:color="auto" w:fill="FFFFFF"/>
        </w:rPr>
        <w:t>业务</w:t>
      </w:r>
      <w:r w:rsidR="00F20FDE">
        <w:rPr>
          <w:rFonts w:ascii="仿宋_GB2312" w:eastAsia="仿宋_GB2312" w:hAnsi="仿宋_GB2312" w:cs="仿宋_GB2312" w:hint="eastAsia"/>
          <w:sz w:val="32"/>
          <w:szCs w:val="32"/>
          <w:shd w:val="clear" w:color="auto" w:fill="FFFFFF"/>
        </w:rPr>
        <w:t>政策</w:t>
      </w:r>
      <w:r w:rsidR="00C701D3">
        <w:rPr>
          <w:rFonts w:ascii="仿宋_GB2312" w:eastAsia="仿宋_GB2312" w:hAnsi="仿宋_GB2312" w:cs="仿宋_GB2312" w:hint="eastAsia"/>
          <w:sz w:val="32"/>
          <w:szCs w:val="32"/>
          <w:shd w:val="clear" w:color="auto" w:fill="FFFFFF"/>
        </w:rPr>
        <w:t>落地</w:t>
      </w:r>
      <w:r w:rsidR="00187EF8" w:rsidRPr="001D0276">
        <w:rPr>
          <w:rFonts w:ascii="仿宋_GB2312" w:eastAsia="仿宋_GB2312" w:hAnsi="仿宋_GB2312" w:cs="仿宋_GB2312" w:hint="eastAsia"/>
          <w:sz w:val="32"/>
          <w:szCs w:val="32"/>
          <w:shd w:val="clear" w:color="auto" w:fill="FFFFFF"/>
        </w:rPr>
        <w:t>。</w:t>
      </w:r>
      <w:r w:rsidRPr="004A47C4">
        <w:rPr>
          <w:rFonts w:ascii="仿宋_GB2312" w:eastAsia="仿宋_GB2312" w:hAnsi="仿宋_GB2312" w:cs="仿宋_GB2312" w:hint="eastAsia"/>
          <w:b/>
          <w:sz w:val="32"/>
          <w:szCs w:val="32"/>
          <w:shd w:val="clear" w:color="auto" w:fill="FFFFFF"/>
        </w:rPr>
        <w:t>二是</w:t>
      </w:r>
      <w:r w:rsidR="0009633C" w:rsidRPr="001D0276">
        <w:rPr>
          <w:rFonts w:ascii="仿宋_GB2312" w:eastAsia="仿宋_GB2312" w:hAnsi="仿宋_GB2312" w:cs="仿宋_GB2312" w:hint="eastAsia"/>
          <w:sz w:val="32"/>
          <w:szCs w:val="32"/>
          <w:shd w:val="clear" w:color="auto" w:fill="FFFFFF"/>
        </w:rPr>
        <w:t>便利</w:t>
      </w:r>
      <w:r w:rsidRPr="001D0276">
        <w:rPr>
          <w:rFonts w:ascii="仿宋_GB2312" w:eastAsia="仿宋_GB2312" w:hAnsi="仿宋_GB2312" w:cs="仿宋_GB2312" w:hint="eastAsia"/>
          <w:sz w:val="32"/>
          <w:szCs w:val="32"/>
          <w:shd w:val="clear" w:color="auto" w:fill="FFFFFF"/>
        </w:rPr>
        <w:t>港澳居民个人同名汇款业务办理</w:t>
      </w:r>
      <w:r w:rsidR="00561D48" w:rsidRPr="001D0276">
        <w:rPr>
          <w:rFonts w:ascii="仿宋_GB2312" w:eastAsia="仿宋_GB2312" w:hAnsi="仿宋_GB2312" w:cs="仿宋_GB2312" w:hint="eastAsia"/>
          <w:sz w:val="32"/>
          <w:szCs w:val="32"/>
          <w:shd w:val="clear" w:color="auto" w:fill="FFFFFF"/>
        </w:rPr>
        <w:t>。</w:t>
      </w:r>
      <w:r w:rsidR="002F7DF1" w:rsidRPr="002F7DF1">
        <w:rPr>
          <w:rFonts w:ascii="仿宋_GB2312" w:eastAsia="仿宋_GB2312" w:hAnsi="仿宋_GB2312" w:cs="仿宋_GB2312" w:hint="eastAsia"/>
          <w:sz w:val="32"/>
          <w:szCs w:val="32"/>
          <w:shd w:val="clear" w:color="auto" w:fill="FFFFFF"/>
        </w:rPr>
        <w:t>明确允许港澳居民可使用个人人民币银行结算账户接受港澳同名汇款，以更好地实现与现行账户管理规定的衔接，进一步便利港澳居民往来内地生活和工作。同时强调汇入资金使用须符合现行规定，即可用于境内消费性支出，不得购买有价证券、金融衍生品、资产管理产品等金融产品，以防范业务风险。</w:t>
      </w:r>
    </w:p>
    <w:p w:rsidR="003C71A9" w:rsidRDefault="00357138" w:rsidP="00C317E8">
      <w:pPr>
        <w:pStyle w:val="a8"/>
        <w:shd w:val="clear" w:color="auto" w:fill="FFFFFF"/>
        <w:spacing w:before="0" w:beforeAutospacing="0" w:after="0" w:afterAutospacing="0" w:line="520" w:lineRule="exact"/>
        <w:ind w:firstLine="601"/>
        <w:rPr>
          <w:rFonts w:ascii="仿宋" w:eastAsia="仿宋" w:hAnsi="仿宋" w:hint="eastAsia"/>
          <w:b/>
          <w:sz w:val="32"/>
          <w:szCs w:val="32"/>
        </w:rPr>
      </w:pPr>
      <w:r w:rsidRPr="00621313">
        <w:rPr>
          <w:rFonts w:ascii="仿宋" w:eastAsia="仿宋" w:hAnsi="仿宋" w:hint="eastAsia"/>
          <w:b/>
          <w:sz w:val="32"/>
          <w:szCs w:val="32"/>
        </w:rPr>
        <w:t>（五）</w:t>
      </w:r>
      <w:r w:rsidR="003C71A9">
        <w:rPr>
          <w:rFonts w:ascii="仿宋" w:eastAsia="仿宋" w:hAnsi="仿宋" w:hint="eastAsia"/>
          <w:b/>
          <w:sz w:val="32"/>
          <w:szCs w:val="32"/>
        </w:rPr>
        <w:t>关于</w:t>
      </w:r>
      <w:r w:rsidRPr="00621313">
        <w:rPr>
          <w:rFonts w:ascii="仿宋" w:eastAsia="仿宋" w:hAnsi="仿宋" w:hint="eastAsia"/>
          <w:b/>
          <w:sz w:val="32"/>
          <w:szCs w:val="32"/>
        </w:rPr>
        <w:t>便利境外机构人民币银行结算账户使用</w:t>
      </w:r>
    </w:p>
    <w:p w:rsidR="00076C81" w:rsidRPr="001D0276" w:rsidRDefault="00F20FDE" w:rsidP="00C317E8">
      <w:pPr>
        <w:pStyle w:val="a8"/>
        <w:shd w:val="clear" w:color="auto" w:fill="FFFFFF"/>
        <w:spacing w:before="0" w:beforeAutospacing="0" w:after="0" w:afterAutospacing="0" w:line="520" w:lineRule="exact"/>
        <w:ind w:firstLine="601"/>
        <w:rPr>
          <w:rFonts w:ascii="仿宋" w:eastAsia="仿宋" w:hAnsi="仿宋"/>
          <w:sz w:val="32"/>
          <w:szCs w:val="32"/>
        </w:rPr>
      </w:pPr>
      <w:r w:rsidRPr="00F20FDE">
        <w:rPr>
          <w:rFonts w:ascii="仿宋" w:eastAsia="仿宋" w:hAnsi="仿宋" w:hint="eastAsia"/>
          <w:sz w:val="32"/>
          <w:szCs w:val="32"/>
        </w:rPr>
        <w:t>为进一步</w:t>
      </w:r>
      <w:r>
        <w:rPr>
          <w:rFonts w:ascii="仿宋" w:eastAsia="仿宋" w:hAnsi="仿宋" w:hint="eastAsia"/>
          <w:sz w:val="32"/>
          <w:szCs w:val="32"/>
        </w:rPr>
        <w:t>支持境外机构</w:t>
      </w:r>
      <w:r w:rsidRPr="00F20FDE">
        <w:rPr>
          <w:rFonts w:ascii="仿宋" w:eastAsia="仿宋" w:hAnsi="仿宋" w:hint="eastAsia"/>
          <w:sz w:val="32"/>
          <w:szCs w:val="32"/>
        </w:rPr>
        <w:t>人民币</w:t>
      </w:r>
      <w:r>
        <w:rPr>
          <w:rFonts w:ascii="仿宋" w:eastAsia="仿宋" w:hAnsi="仿宋" w:hint="eastAsia"/>
          <w:sz w:val="32"/>
          <w:szCs w:val="32"/>
        </w:rPr>
        <w:t>银行结算</w:t>
      </w:r>
      <w:r w:rsidRPr="00F20FDE">
        <w:rPr>
          <w:rFonts w:ascii="仿宋" w:eastAsia="仿宋" w:hAnsi="仿宋" w:hint="eastAsia"/>
          <w:sz w:val="32"/>
          <w:szCs w:val="32"/>
        </w:rPr>
        <w:t>账户发挥结算功能，</w:t>
      </w:r>
      <w:r>
        <w:rPr>
          <w:rFonts w:ascii="仿宋" w:eastAsia="仿宋" w:hAnsi="仿宋" w:hint="eastAsia"/>
          <w:sz w:val="32"/>
          <w:szCs w:val="32"/>
        </w:rPr>
        <w:t>明确</w:t>
      </w:r>
      <w:r w:rsidR="00F302DD" w:rsidRPr="001D0276">
        <w:rPr>
          <w:rFonts w:ascii="Times New Roman" w:eastAsia="仿宋_GB2312" w:hAnsi="仿宋_GB2312" w:cs="仿宋_GB2312" w:hint="eastAsia"/>
          <w:sz w:val="32"/>
          <w:szCs w:val="32"/>
        </w:rPr>
        <w:t>允许境外机构从境外同名汇入资金至人民币账户</w:t>
      </w:r>
      <w:r w:rsidR="002F7DF1">
        <w:rPr>
          <w:rFonts w:ascii="Times New Roman" w:eastAsia="仿宋_GB2312" w:hAnsi="仿宋_GB2312" w:cs="仿宋_GB2312" w:hint="eastAsia"/>
          <w:sz w:val="32"/>
          <w:szCs w:val="32"/>
        </w:rPr>
        <w:t>，同时规定</w:t>
      </w:r>
      <w:r w:rsidR="00357138" w:rsidRPr="001D0276">
        <w:rPr>
          <w:rFonts w:ascii="仿宋" w:eastAsia="仿宋" w:hAnsi="仿宋" w:hint="eastAsia"/>
          <w:sz w:val="32"/>
          <w:szCs w:val="32"/>
        </w:rPr>
        <w:t>从境外汇入的人民币资金原则上不得购汇</w:t>
      </w:r>
      <w:r>
        <w:rPr>
          <w:rFonts w:ascii="仿宋" w:eastAsia="仿宋" w:hAnsi="仿宋" w:hint="eastAsia"/>
          <w:sz w:val="32"/>
          <w:szCs w:val="32"/>
        </w:rPr>
        <w:t>。</w:t>
      </w:r>
    </w:p>
    <w:p w:rsidR="00F302DD" w:rsidRDefault="00130175" w:rsidP="00130175">
      <w:pPr>
        <w:spacing w:line="520" w:lineRule="exact"/>
        <w:ind w:firstLineChars="200" w:firstLine="640"/>
        <w:rPr>
          <w:rFonts w:ascii="黑体" w:eastAsia="黑体" w:hAnsi="黑体" w:hint="eastAsia"/>
          <w:sz w:val="32"/>
          <w:szCs w:val="32"/>
        </w:rPr>
      </w:pPr>
      <w:r w:rsidRPr="00130175">
        <w:rPr>
          <w:rFonts w:ascii="黑体" w:eastAsia="黑体" w:hAnsi="黑体" w:hint="eastAsia"/>
          <w:sz w:val="32"/>
          <w:szCs w:val="32"/>
        </w:rPr>
        <w:t>三、征求意见情况</w:t>
      </w:r>
    </w:p>
    <w:p w:rsidR="003C71A9" w:rsidRPr="003C71A9" w:rsidRDefault="003C71A9" w:rsidP="003C71A9">
      <w:pPr>
        <w:pStyle w:val="a8"/>
        <w:shd w:val="clear" w:color="auto" w:fill="FFFFFF"/>
        <w:spacing w:before="0" w:beforeAutospacing="0" w:after="0" w:afterAutospacing="0" w:line="520" w:lineRule="exact"/>
        <w:ind w:firstLine="601"/>
        <w:rPr>
          <w:rFonts w:ascii="仿宋" w:eastAsia="仿宋" w:hAnsi="仿宋"/>
          <w:sz w:val="32"/>
          <w:szCs w:val="32"/>
        </w:rPr>
      </w:pPr>
      <w:r w:rsidRPr="003C71A9">
        <w:rPr>
          <w:rFonts w:ascii="仿宋" w:eastAsia="仿宋" w:hAnsi="仿宋" w:hint="eastAsia"/>
          <w:sz w:val="32"/>
          <w:szCs w:val="32"/>
        </w:rPr>
        <w:t>在《通知》起草过程中，我们通过专题研究讨论、电话会议、书面征求意见等多种方式，征求了相关部门、人民银行分支机构、中外资商业银行、政策性银行代表的意见，</w:t>
      </w:r>
      <w:r w:rsidR="00B17A49">
        <w:rPr>
          <w:rFonts w:ascii="仿宋" w:eastAsia="仿宋" w:hAnsi="仿宋" w:hint="eastAsia"/>
          <w:sz w:val="32"/>
          <w:szCs w:val="32"/>
        </w:rPr>
        <w:t>共154条，</w:t>
      </w:r>
      <w:r w:rsidRPr="003C71A9">
        <w:rPr>
          <w:rFonts w:ascii="仿宋" w:eastAsia="仿宋" w:hAnsi="仿宋" w:hint="eastAsia"/>
          <w:sz w:val="32"/>
          <w:szCs w:val="32"/>
        </w:rPr>
        <w:t>并采纳了其中大部分意见，对于未采纳的意见，也与相关意见提出方达成了一致。</w:t>
      </w:r>
    </w:p>
    <w:sectPr w:rsidR="003C71A9" w:rsidRPr="003C71A9" w:rsidSect="00076C81">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68F" w:rsidRDefault="007A268F" w:rsidP="00076C81">
      <w:r>
        <w:separator/>
      </w:r>
    </w:p>
  </w:endnote>
  <w:endnote w:type="continuationSeparator" w:id="0">
    <w:p w:rsidR="007A268F" w:rsidRDefault="007A268F" w:rsidP="0007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黑体">
    <w:panose1 w:val="02010609060101010101"/>
    <w:charset w:val="50"/>
    <w:family w:val="auto"/>
    <w:pitch w:val="variable"/>
    <w:sig w:usb0="800002BF" w:usb1="38CF7CFA" w:usb2="00000016" w:usb3="00000000" w:csb0="00040001" w:csb1="00000000"/>
  </w:font>
  <w:font w:name="仿宋">
    <w:altName w:val="Arial Unicode MS"/>
    <w:panose1 w:val="02010609060101010101"/>
    <w:charset w:val="86"/>
    <w:family w:val="modern"/>
    <w:pitch w:val="default"/>
    <w:sig w:usb0="800002BF" w:usb1="38CF7CFA" w:usb2="00000016" w:usb3="00000000" w:csb0="00040001" w:csb1="00000000"/>
  </w:font>
  <w:font w:name="仿宋_GB2312">
    <w:altName w:val="Arial Unicode MS"/>
    <w:charset w:val="86"/>
    <w:family w:val="modern"/>
    <w:pitch w:val="default"/>
    <w:sig w:usb0="00000001" w:usb1="080E0000" w:usb2="0000000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138" w:rsidRDefault="00902F45">
    <w:pPr>
      <w:pStyle w:val="a4"/>
      <w:jc w:val="center"/>
    </w:pPr>
    <w:r>
      <w:fldChar w:fldCharType="begin"/>
    </w:r>
    <w:r>
      <w:instrText>PAGE   \* MERGEFORMAT</w:instrText>
    </w:r>
    <w:r>
      <w:fldChar w:fldCharType="separate"/>
    </w:r>
    <w:r w:rsidR="00A97DEE">
      <w:rPr>
        <w:noProof/>
      </w:rPr>
      <w:t>1</w:t>
    </w:r>
    <w:r>
      <w:fldChar w:fldCharType="end"/>
    </w:r>
  </w:p>
  <w:p w:rsidR="00357138" w:rsidRDefault="00357138">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68F" w:rsidRDefault="007A268F" w:rsidP="00076C81">
      <w:r>
        <w:separator/>
      </w:r>
    </w:p>
  </w:footnote>
  <w:footnote w:type="continuationSeparator" w:id="0">
    <w:p w:rsidR="007A268F" w:rsidRDefault="007A268F" w:rsidP="00076C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4ECBA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30BE40"/>
    <w:multiLevelType w:val="singleLevel"/>
    <w:tmpl w:val="5F30BE40"/>
    <w:lvl w:ilvl="0">
      <w:start w:val="5"/>
      <w:numFmt w:val="decimal"/>
      <w:suff w:val="nothing"/>
      <w:lvlText w:val="%1."/>
      <w:lvlJc w:val="left"/>
    </w:lvl>
  </w:abstractNum>
  <w:abstractNum w:abstractNumId="2">
    <w:nsid w:val="5F333B02"/>
    <w:multiLevelType w:val="singleLevel"/>
    <w:tmpl w:val="5F333B02"/>
    <w:lvl w:ilvl="0">
      <w:start w:val="5"/>
      <w:numFmt w:val="decimal"/>
      <w:suff w:val="nothing"/>
      <w:lvlText w:val="%1."/>
      <w:lvlJc w:val="left"/>
    </w:lvl>
  </w:abstractNum>
  <w:abstractNum w:abstractNumId="3">
    <w:nsid w:val="5F333C10"/>
    <w:multiLevelType w:val="singleLevel"/>
    <w:tmpl w:val="5F333C10"/>
    <w:lvl w:ilvl="0">
      <w:start w:val="6"/>
      <w:numFmt w:val="decimal"/>
      <w:suff w:val="nothing"/>
      <w:lvlText w:val="%1."/>
      <w:lvlJc w:val="left"/>
    </w:lvl>
  </w:abstractNum>
  <w:abstractNum w:abstractNumId="4">
    <w:nsid w:val="5F333C46"/>
    <w:multiLevelType w:val="singleLevel"/>
    <w:tmpl w:val="5F333C46"/>
    <w:lvl w:ilvl="0">
      <w:start w:val="2"/>
      <w:numFmt w:val="chineseCounting"/>
      <w:suff w:val="nothing"/>
      <w:lvlText w:val="（%1）"/>
      <w:lvlJc w:val="left"/>
    </w:lvl>
  </w:abstractNum>
  <w:abstractNum w:abstractNumId="5">
    <w:nsid w:val="5F335004"/>
    <w:multiLevelType w:val="singleLevel"/>
    <w:tmpl w:val="5F335004"/>
    <w:lvl w:ilvl="0">
      <w:start w:val="7"/>
      <w:numFmt w:val="chineseCounting"/>
      <w:suff w:val="nothing"/>
      <w:lvlText w:val="（%1）"/>
      <w:lvlJc w:val="left"/>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2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C81"/>
    <w:rsid w:val="00012B57"/>
    <w:rsid w:val="00014D3C"/>
    <w:rsid w:val="00061B38"/>
    <w:rsid w:val="00076C81"/>
    <w:rsid w:val="000836E4"/>
    <w:rsid w:val="0009633C"/>
    <w:rsid w:val="000A2031"/>
    <w:rsid w:val="000C025B"/>
    <w:rsid w:val="000E36E0"/>
    <w:rsid w:val="00104757"/>
    <w:rsid w:val="001107F6"/>
    <w:rsid w:val="00112E01"/>
    <w:rsid w:val="00120F9C"/>
    <w:rsid w:val="00125BB3"/>
    <w:rsid w:val="00130175"/>
    <w:rsid w:val="001405D5"/>
    <w:rsid w:val="00150A3D"/>
    <w:rsid w:val="00165F31"/>
    <w:rsid w:val="0018199D"/>
    <w:rsid w:val="0018293E"/>
    <w:rsid w:val="00187EF8"/>
    <w:rsid w:val="001B6ED5"/>
    <w:rsid w:val="001C7CE6"/>
    <w:rsid w:val="001D0276"/>
    <w:rsid w:val="00220001"/>
    <w:rsid w:val="00223C4D"/>
    <w:rsid w:val="00223D8C"/>
    <w:rsid w:val="00224DFB"/>
    <w:rsid w:val="002277DA"/>
    <w:rsid w:val="00232F89"/>
    <w:rsid w:val="0024225D"/>
    <w:rsid w:val="002575AE"/>
    <w:rsid w:val="00260FE1"/>
    <w:rsid w:val="00273C6E"/>
    <w:rsid w:val="002A4898"/>
    <w:rsid w:val="002A6241"/>
    <w:rsid w:val="002A6D54"/>
    <w:rsid w:val="002C6294"/>
    <w:rsid w:val="002D66EC"/>
    <w:rsid w:val="002F7DF1"/>
    <w:rsid w:val="00332594"/>
    <w:rsid w:val="00337E9C"/>
    <w:rsid w:val="00346CF1"/>
    <w:rsid w:val="00357138"/>
    <w:rsid w:val="003706A2"/>
    <w:rsid w:val="00373485"/>
    <w:rsid w:val="00373D59"/>
    <w:rsid w:val="00392DF1"/>
    <w:rsid w:val="003B7463"/>
    <w:rsid w:val="003B7932"/>
    <w:rsid w:val="003C71A9"/>
    <w:rsid w:val="003E5431"/>
    <w:rsid w:val="003F3EC7"/>
    <w:rsid w:val="003F7F2D"/>
    <w:rsid w:val="00416A99"/>
    <w:rsid w:val="004248D2"/>
    <w:rsid w:val="00430760"/>
    <w:rsid w:val="00443629"/>
    <w:rsid w:val="004847D9"/>
    <w:rsid w:val="00485051"/>
    <w:rsid w:val="004A2DCB"/>
    <w:rsid w:val="004A320B"/>
    <w:rsid w:val="004A47C4"/>
    <w:rsid w:val="004A5022"/>
    <w:rsid w:val="004F5710"/>
    <w:rsid w:val="00502F99"/>
    <w:rsid w:val="0053133D"/>
    <w:rsid w:val="00542DA8"/>
    <w:rsid w:val="005530EE"/>
    <w:rsid w:val="00561D48"/>
    <w:rsid w:val="0057792B"/>
    <w:rsid w:val="005D3FFE"/>
    <w:rsid w:val="005D46FC"/>
    <w:rsid w:val="00621313"/>
    <w:rsid w:val="0064693E"/>
    <w:rsid w:val="00697527"/>
    <w:rsid w:val="006A0494"/>
    <w:rsid w:val="006B392C"/>
    <w:rsid w:val="006B45EF"/>
    <w:rsid w:val="0071162A"/>
    <w:rsid w:val="00727C93"/>
    <w:rsid w:val="00731950"/>
    <w:rsid w:val="007478B3"/>
    <w:rsid w:val="00761D50"/>
    <w:rsid w:val="00782DB8"/>
    <w:rsid w:val="00793AA8"/>
    <w:rsid w:val="007A268F"/>
    <w:rsid w:val="007D050E"/>
    <w:rsid w:val="007E323F"/>
    <w:rsid w:val="0081223B"/>
    <w:rsid w:val="00825DE8"/>
    <w:rsid w:val="00826439"/>
    <w:rsid w:val="00833EAD"/>
    <w:rsid w:val="008450B5"/>
    <w:rsid w:val="00846A2B"/>
    <w:rsid w:val="008A32F3"/>
    <w:rsid w:val="008C0B09"/>
    <w:rsid w:val="008E2731"/>
    <w:rsid w:val="008F210D"/>
    <w:rsid w:val="00902F45"/>
    <w:rsid w:val="0091250A"/>
    <w:rsid w:val="00953DAA"/>
    <w:rsid w:val="00964706"/>
    <w:rsid w:val="00981B5F"/>
    <w:rsid w:val="00995DB1"/>
    <w:rsid w:val="009A274E"/>
    <w:rsid w:val="009A760E"/>
    <w:rsid w:val="009C0247"/>
    <w:rsid w:val="009D7CF4"/>
    <w:rsid w:val="009E712F"/>
    <w:rsid w:val="00A510CC"/>
    <w:rsid w:val="00A55FBA"/>
    <w:rsid w:val="00A6419C"/>
    <w:rsid w:val="00A656F1"/>
    <w:rsid w:val="00A7506B"/>
    <w:rsid w:val="00A75656"/>
    <w:rsid w:val="00A97DEE"/>
    <w:rsid w:val="00AA06EC"/>
    <w:rsid w:val="00AB2A0B"/>
    <w:rsid w:val="00AB7AB3"/>
    <w:rsid w:val="00AF4477"/>
    <w:rsid w:val="00B16FD0"/>
    <w:rsid w:val="00B17A49"/>
    <w:rsid w:val="00B24A43"/>
    <w:rsid w:val="00B430DB"/>
    <w:rsid w:val="00B4484C"/>
    <w:rsid w:val="00B71990"/>
    <w:rsid w:val="00BE37BE"/>
    <w:rsid w:val="00C01924"/>
    <w:rsid w:val="00C16AD4"/>
    <w:rsid w:val="00C317E8"/>
    <w:rsid w:val="00C404BE"/>
    <w:rsid w:val="00C46C36"/>
    <w:rsid w:val="00C5641D"/>
    <w:rsid w:val="00C701D3"/>
    <w:rsid w:val="00CD655D"/>
    <w:rsid w:val="00CE5638"/>
    <w:rsid w:val="00CF0C62"/>
    <w:rsid w:val="00CF1326"/>
    <w:rsid w:val="00CF4BFF"/>
    <w:rsid w:val="00D03E10"/>
    <w:rsid w:val="00D4651F"/>
    <w:rsid w:val="00D541F7"/>
    <w:rsid w:val="00D56911"/>
    <w:rsid w:val="00D61AE4"/>
    <w:rsid w:val="00D75D42"/>
    <w:rsid w:val="00D77A0F"/>
    <w:rsid w:val="00D80525"/>
    <w:rsid w:val="00DB32C2"/>
    <w:rsid w:val="00DD00AA"/>
    <w:rsid w:val="00DD6FAC"/>
    <w:rsid w:val="00DF3448"/>
    <w:rsid w:val="00DF4366"/>
    <w:rsid w:val="00DF4740"/>
    <w:rsid w:val="00E06CBC"/>
    <w:rsid w:val="00E11372"/>
    <w:rsid w:val="00E532B1"/>
    <w:rsid w:val="00E612A8"/>
    <w:rsid w:val="00E71B9C"/>
    <w:rsid w:val="00E82148"/>
    <w:rsid w:val="00E8224A"/>
    <w:rsid w:val="00E91804"/>
    <w:rsid w:val="00EA1F08"/>
    <w:rsid w:val="00EB5EBA"/>
    <w:rsid w:val="00EC0C69"/>
    <w:rsid w:val="00ED381E"/>
    <w:rsid w:val="00EF043C"/>
    <w:rsid w:val="00F13F38"/>
    <w:rsid w:val="00F20FDE"/>
    <w:rsid w:val="00F21577"/>
    <w:rsid w:val="00F302DD"/>
    <w:rsid w:val="00F501A5"/>
    <w:rsid w:val="00F967E0"/>
    <w:rsid w:val="00F970A2"/>
    <w:rsid w:val="00FB3F3D"/>
    <w:rsid w:val="00FB43C0"/>
    <w:rsid w:val="00FB6B4F"/>
    <w:rsid w:val="00FC26D3"/>
    <w:rsid w:val="00FD6E31"/>
    <w:rsid w:val="00FF0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Note Level 1" w:uiPriority="99"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C81"/>
    <w:pPr>
      <w:widowControl w:val="0"/>
      <w:jc w:val="both"/>
    </w:pPr>
    <w:rPr>
      <w:rFonts w:ascii="Calibri" w:hAnsi="Calibri" w:cs="黑体"/>
      <w:kern w:val="2"/>
      <w:sz w:val="21"/>
      <w:szCs w:val="22"/>
    </w:rPr>
  </w:style>
  <w:style w:type="paragraph" w:styleId="1">
    <w:name w:val="heading 1"/>
    <w:basedOn w:val="a"/>
    <w:link w:val="10"/>
    <w:uiPriority w:val="9"/>
    <w:qFormat/>
    <w:rsid w:val="00076C81"/>
    <w:pPr>
      <w:widowControl/>
      <w:spacing w:before="100" w:beforeAutospacing="1" w:after="100" w:afterAutospacing="1"/>
      <w:jc w:val="left"/>
      <w:outlineLvl w:val="0"/>
    </w:pPr>
    <w:rPr>
      <w:rFonts w:ascii="宋体" w:hAnsi="宋体" w:cs="宋体"/>
      <w:b/>
      <w:bCs/>
      <w:color w:val="333333"/>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rsid w:val="00076C81"/>
    <w:pPr>
      <w:jc w:val="left"/>
    </w:pPr>
  </w:style>
  <w:style w:type="paragraph" w:styleId="a4">
    <w:name w:val="footer"/>
    <w:basedOn w:val="a"/>
    <w:link w:val="a5"/>
    <w:uiPriority w:val="99"/>
    <w:unhideWhenUsed/>
    <w:rsid w:val="00076C81"/>
    <w:pPr>
      <w:tabs>
        <w:tab w:val="center" w:pos="4153"/>
        <w:tab w:val="right" w:pos="8306"/>
      </w:tabs>
      <w:snapToGrid w:val="0"/>
      <w:jc w:val="left"/>
    </w:pPr>
    <w:rPr>
      <w:sz w:val="18"/>
      <w:szCs w:val="18"/>
    </w:rPr>
  </w:style>
  <w:style w:type="paragraph" w:styleId="a6">
    <w:name w:val="header"/>
    <w:basedOn w:val="a"/>
    <w:link w:val="a7"/>
    <w:uiPriority w:val="99"/>
    <w:unhideWhenUsed/>
    <w:rsid w:val="00076C81"/>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rsid w:val="00076C81"/>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22"/>
    <w:qFormat/>
    <w:rsid w:val="00076C81"/>
    <w:rPr>
      <w:b/>
      <w:bCs/>
    </w:rPr>
  </w:style>
  <w:style w:type="character" w:styleId="aa">
    <w:name w:val="page number"/>
    <w:basedOn w:val="a0"/>
    <w:semiHidden/>
    <w:unhideWhenUsed/>
    <w:rsid w:val="00076C81"/>
  </w:style>
  <w:style w:type="character" w:styleId="ab">
    <w:name w:val="Emphasis"/>
    <w:basedOn w:val="a0"/>
    <w:uiPriority w:val="20"/>
    <w:qFormat/>
    <w:rsid w:val="00076C81"/>
    <w:rPr>
      <w:color w:val="CC0000"/>
    </w:rPr>
  </w:style>
  <w:style w:type="character" w:styleId="ac">
    <w:name w:val="annotation reference"/>
    <w:basedOn w:val="a0"/>
    <w:semiHidden/>
    <w:unhideWhenUsed/>
    <w:rsid w:val="00076C81"/>
    <w:rPr>
      <w:sz w:val="21"/>
      <w:szCs w:val="21"/>
    </w:rPr>
  </w:style>
  <w:style w:type="paragraph" w:customStyle="1" w:styleId="11">
    <w:name w:val="列出段落1"/>
    <w:basedOn w:val="a"/>
    <w:uiPriority w:val="34"/>
    <w:qFormat/>
    <w:rsid w:val="00076C81"/>
    <w:pPr>
      <w:ind w:firstLineChars="200" w:firstLine="420"/>
    </w:pPr>
  </w:style>
  <w:style w:type="paragraph" w:customStyle="1" w:styleId="p0">
    <w:name w:val="p0"/>
    <w:rsid w:val="00076C81"/>
    <w:rPr>
      <w:szCs w:val="21"/>
    </w:rPr>
  </w:style>
  <w:style w:type="character" w:customStyle="1" w:styleId="a7">
    <w:name w:val="页眉字符"/>
    <w:basedOn w:val="a0"/>
    <w:link w:val="a6"/>
    <w:uiPriority w:val="99"/>
    <w:rsid w:val="00076C81"/>
    <w:rPr>
      <w:sz w:val="18"/>
      <w:szCs w:val="18"/>
    </w:rPr>
  </w:style>
  <w:style w:type="character" w:customStyle="1" w:styleId="a5">
    <w:name w:val="页脚字符"/>
    <w:basedOn w:val="a0"/>
    <w:link w:val="a4"/>
    <w:uiPriority w:val="99"/>
    <w:rsid w:val="00076C81"/>
    <w:rPr>
      <w:sz w:val="18"/>
      <w:szCs w:val="18"/>
    </w:rPr>
  </w:style>
  <w:style w:type="character" w:customStyle="1" w:styleId="10">
    <w:name w:val="标题 1字符"/>
    <w:basedOn w:val="a0"/>
    <w:link w:val="1"/>
    <w:uiPriority w:val="9"/>
    <w:rsid w:val="00076C81"/>
    <w:rPr>
      <w:rFonts w:ascii="宋体" w:eastAsia="宋体" w:hAnsi="宋体" w:cs="宋体"/>
      <w:b/>
      <w:bCs/>
      <w:color w:val="333333"/>
      <w:kern w:val="36"/>
      <w:sz w:val="48"/>
      <w:szCs w:val="48"/>
    </w:rPr>
  </w:style>
  <w:style w:type="character" w:customStyle="1" w:styleId="ref">
    <w:name w:val="ref"/>
    <w:basedOn w:val="a0"/>
    <w:rsid w:val="00076C81"/>
  </w:style>
  <w:style w:type="character" w:customStyle="1" w:styleId="bjh-p">
    <w:name w:val="bjh-p"/>
    <w:basedOn w:val="a0"/>
    <w:rsid w:val="00076C81"/>
  </w:style>
  <w:style w:type="character" w:styleId="ad">
    <w:name w:val="Hyperlink"/>
    <w:basedOn w:val="a0"/>
    <w:unhideWhenUsed/>
    <w:rsid w:val="001C7CE6"/>
    <w:rPr>
      <w:color w:val="0000FF"/>
      <w:u w:val="single"/>
    </w:rPr>
  </w:style>
  <w:style w:type="paragraph" w:styleId="ae">
    <w:name w:val="Balloon Text"/>
    <w:basedOn w:val="a"/>
    <w:link w:val="af"/>
    <w:semiHidden/>
    <w:unhideWhenUsed/>
    <w:rsid w:val="0071162A"/>
    <w:rPr>
      <w:sz w:val="18"/>
      <w:szCs w:val="18"/>
    </w:rPr>
  </w:style>
  <w:style w:type="character" w:customStyle="1" w:styleId="af">
    <w:name w:val="批注框文本字符"/>
    <w:basedOn w:val="a0"/>
    <w:link w:val="ae"/>
    <w:semiHidden/>
    <w:rsid w:val="0071162A"/>
    <w:rPr>
      <w:rFonts w:ascii="Calibri" w:hAnsi="Calibri" w:cs="黑体"/>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Note Level 1" w:uiPriority="99"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C81"/>
    <w:pPr>
      <w:widowControl w:val="0"/>
      <w:jc w:val="both"/>
    </w:pPr>
    <w:rPr>
      <w:rFonts w:ascii="Calibri" w:hAnsi="Calibri" w:cs="黑体"/>
      <w:kern w:val="2"/>
      <w:sz w:val="21"/>
      <w:szCs w:val="22"/>
    </w:rPr>
  </w:style>
  <w:style w:type="paragraph" w:styleId="1">
    <w:name w:val="heading 1"/>
    <w:basedOn w:val="a"/>
    <w:link w:val="10"/>
    <w:uiPriority w:val="9"/>
    <w:qFormat/>
    <w:rsid w:val="00076C81"/>
    <w:pPr>
      <w:widowControl/>
      <w:spacing w:before="100" w:beforeAutospacing="1" w:after="100" w:afterAutospacing="1"/>
      <w:jc w:val="left"/>
      <w:outlineLvl w:val="0"/>
    </w:pPr>
    <w:rPr>
      <w:rFonts w:ascii="宋体" w:hAnsi="宋体" w:cs="宋体"/>
      <w:b/>
      <w:bCs/>
      <w:color w:val="333333"/>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rsid w:val="00076C81"/>
    <w:pPr>
      <w:jc w:val="left"/>
    </w:pPr>
  </w:style>
  <w:style w:type="paragraph" w:styleId="a4">
    <w:name w:val="footer"/>
    <w:basedOn w:val="a"/>
    <w:link w:val="a5"/>
    <w:uiPriority w:val="99"/>
    <w:unhideWhenUsed/>
    <w:rsid w:val="00076C81"/>
    <w:pPr>
      <w:tabs>
        <w:tab w:val="center" w:pos="4153"/>
        <w:tab w:val="right" w:pos="8306"/>
      </w:tabs>
      <w:snapToGrid w:val="0"/>
      <w:jc w:val="left"/>
    </w:pPr>
    <w:rPr>
      <w:sz w:val="18"/>
      <w:szCs w:val="18"/>
    </w:rPr>
  </w:style>
  <w:style w:type="paragraph" w:styleId="a6">
    <w:name w:val="header"/>
    <w:basedOn w:val="a"/>
    <w:link w:val="a7"/>
    <w:uiPriority w:val="99"/>
    <w:unhideWhenUsed/>
    <w:rsid w:val="00076C81"/>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rsid w:val="00076C81"/>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22"/>
    <w:qFormat/>
    <w:rsid w:val="00076C81"/>
    <w:rPr>
      <w:b/>
      <w:bCs/>
    </w:rPr>
  </w:style>
  <w:style w:type="character" w:styleId="aa">
    <w:name w:val="page number"/>
    <w:basedOn w:val="a0"/>
    <w:semiHidden/>
    <w:unhideWhenUsed/>
    <w:rsid w:val="00076C81"/>
  </w:style>
  <w:style w:type="character" w:styleId="ab">
    <w:name w:val="Emphasis"/>
    <w:basedOn w:val="a0"/>
    <w:uiPriority w:val="20"/>
    <w:qFormat/>
    <w:rsid w:val="00076C81"/>
    <w:rPr>
      <w:color w:val="CC0000"/>
    </w:rPr>
  </w:style>
  <w:style w:type="character" w:styleId="ac">
    <w:name w:val="annotation reference"/>
    <w:basedOn w:val="a0"/>
    <w:semiHidden/>
    <w:unhideWhenUsed/>
    <w:rsid w:val="00076C81"/>
    <w:rPr>
      <w:sz w:val="21"/>
      <w:szCs w:val="21"/>
    </w:rPr>
  </w:style>
  <w:style w:type="paragraph" w:customStyle="1" w:styleId="11">
    <w:name w:val="列出段落1"/>
    <w:basedOn w:val="a"/>
    <w:uiPriority w:val="34"/>
    <w:qFormat/>
    <w:rsid w:val="00076C81"/>
    <w:pPr>
      <w:ind w:firstLineChars="200" w:firstLine="420"/>
    </w:pPr>
  </w:style>
  <w:style w:type="paragraph" w:customStyle="1" w:styleId="p0">
    <w:name w:val="p0"/>
    <w:rsid w:val="00076C81"/>
    <w:rPr>
      <w:szCs w:val="21"/>
    </w:rPr>
  </w:style>
  <w:style w:type="character" w:customStyle="1" w:styleId="a7">
    <w:name w:val="页眉字符"/>
    <w:basedOn w:val="a0"/>
    <w:link w:val="a6"/>
    <w:uiPriority w:val="99"/>
    <w:rsid w:val="00076C81"/>
    <w:rPr>
      <w:sz w:val="18"/>
      <w:szCs w:val="18"/>
    </w:rPr>
  </w:style>
  <w:style w:type="character" w:customStyle="1" w:styleId="a5">
    <w:name w:val="页脚字符"/>
    <w:basedOn w:val="a0"/>
    <w:link w:val="a4"/>
    <w:uiPriority w:val="99"/>
    <w:rsid w:val="00076C81"/>
    <w:rPr>
      <w:sz w:val="18"/>
      <w:szCs w:val="18"/>
    </w:rPr>
  </w:style>
  <w:style w:type="character" w:customStyle="1" w:styleId="10">
    <w:name w:val="标题 1字符"/>
    <w:basedOn w:val="a0"/>
    <w:link w:val="1"/>
    <w:uiPriority w:val="9"/>
    <w:rsid w:val="00076C81"/>
    <w:rPr>
      <w:rFonts w:ascii="宋体" w:eastAsia="宋体" w:hAnsi="宋体" w:cs="宋体"/>
      <w:b/>
      <w:bCs/>
      <w:color w:val="333333"/>
      <w:kern w:val="36"/>
      <w:sz w:val="48"/>
      <w:szCs w:val="48"/>
    </w:rPr>
  </w:style>
  <w:style w:type="character" w:customStyle="1" w:styleId="ref">
    <w:name w:val="ref"/>
    <w:basedOn w:val="a0"/>
    <w:rsid w:val="00076C81"/>
  </w:style>
  <w:style w:type="character" w:customStyle="1" w:styleId="bjh-p">
    <w:name w:val="bjh-p"/>
    <w:basedOn w:val="a0"/>
    <w:rsid w:val="00076C81"/>
  </w:style>
  <w:style w:type="character" w:styleId="ad">
    <w:name w:val="Hyperlink"/>
    <w:basedOn w:val="a0"/>
    <w:unhideWhenUsed/>
    <w:rsid w:val="001C7CE6"/>
    <w:rPr>
      <w:color w:val="0000FF"/>
      <w:u w:val="single"/>
    </w:rPr>
  </w:style>
  <w:style w:type="paragraph" w:styleId="ae">
    <w:name w:val="Balloon Text"/>
    <w:basedOn w:val="a"/>
    <w:link w:val="af"/>
    <w:semiHidden/>
    <w:unhideWhenUsed/>
    <w:rsid w:val="0071162A"/>
    <w:rPr>
      <w:sz w:val="18"/>
      <w:szCs w:val="18"/>
    </w:rPr>
  </w:style>
  <w:style w:type="character" w:customStyle="1" w:styleId="af">
    <w:name w:val="批注框文本字符"/>
    <w:basedOn w:val="a0"/>
    <w:link w:val="ae"/>
    <w:semiHidden/>
    <w:rsid w:val="0071162A"/>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B67465-5234-D049-984E-B6ECCB072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330</Words>
  <Characters>1885</Characters>
  <Application>Microsoft Macintosh Word</Application>
  <DocSecurity>0</DocSecurity>
  <Lines>15</Lines>
  <Paragraphs>4</Paragraphs>
  <ScaleCrop>false</ScaleCrop>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《关于进一步优化人民币跨境业务政策</dc:title>
  <dc:subject/>
  <dc:creator>lyr</dc:creator>
  <cp:keywords/>
  <dc:description/>
  <cp:lastModifiedBy>王岭燕</cp:lastModifiedBy>
  <cp:revision>2</cp:revision>
  <cp:lastPrinted>2020-09-17T00:22:00Z</cp:lastPrinted>
  <dcterms:created xsi:type="dcterms:W3CDTF">2020-09-22T02:14:00Z</dcterms:created>
  <dcterms:modified xsi:type="dcterms:W3CDTF">2020-09-22T02:14:00Z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