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both"/>
        <w:rPr>
          <w:rFonts w:hint="eastAsia" w:ascii="黑体" w:hAnsi="黑体" w:eastAsia="黑体" w:cs="黑体"/>
          <w:sz w:val="32"/>
          <w:szCs w:val="32"/>
          <w:lang w:val="en-US" w:eastAsia="zh-CN"/>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关于《青海省关于</w:t>
      </w:r>
      <w:r>
        <w:rPr>
          <w:rFonts w:hint="eastAsia" w:ascii="方正小标宋简体" w:hAnsi="方正小标宋简体" w:eastAsia="方正小标宋简体" w:cs="方正小标宋简体"/>
          <w:sz w:val="36"/>
          <w:szCs w:val="36"/>
          <w:lang w:val="en-US" w:eastAsia="zh-CN"/>
        </w:rPr>
        <w:t>城市维护建设税有关政策的通知</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（征求意见稿）</w:t>
      </w:r>
      <w:r>
        <w:rPr>
          <w:rFonts w:hint="eastAsia" w:ascii="方正小标宋简体" w:hAnsi="方正小标宋简体" w:eastAsia="方正小标宋简体" w:cs="方正小标宋简体"/>
          <w:sz w:val="36"/>
          <w:szCs w:val="36"/>
          <w:lang w:eastAsia="zh-CN"/>
        </w:rPr>
        <w:t>》的起草说明</w:t>
      </w:r>
    </w:p>
    <w:p>
      <w:pPr>
        <w:jc w:val="both"/>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华文中宋" w:eastAsia="仿宋_GB2312"/>
          <w:sz w:val="32"/>
          <w:szCs w:val="32"/>
          <w:lang w:eastAsia="zh-CN"/>
        </w:rPr>
      </w:pPr>
      <w:r>
        <w:rPr>
          <w:rFonts w:hint="eastAsia" w:ascii="仿宋_GB2312" w:hAnsi="仿宋_GB2312" w:eastAsia="仿宋_GB2312" w:cs="仿宋_GB2312"/>
          <w:sz w:val="32"/>
          <w:szCs w:val="32"/>
          <w:lang w:val="en-US" w:eastAsia="zh-CN"/>
        </w:rPr>
        <w:t>2021年8月11日，</w:t>
      </w:r>
      <w:r>
        <w:rPr>
          <w:rFonts w:ascii="仿宋_GB2312" w:hAnsi="华文中宋" w:eastAsia="仿宋_GB2312"/>
          <w:sz w:val="32"/>
          <w:szCs w:val="32"/>
        </w:rPr>
        <w:t>《中华人民共和国城市维护建设税法》（以下简称《城建税法》）</w:t>
      </w:r>
      <w:r>
        <w:rPr>
          <w:rFonts w:hint="eastAsia" w:ascii="仿宋_GB2312" w:hAnsi="华文中宋" w:eastAsia="仿宋_GB2312"/>
          <w:sz w:val="32"/>
          <w:szCs w:val="32"/>
          <w:lang w:eastAsia="zh-CN"/>
        </w:rPr>
        <w:t>由第十三届全国人民代表大会常务委员会第二十一次会议审议通过</w:t>
      </w:r>
      <w:r>
        <w:rPr>
          <w:rFonts w:ascii="仿宋_GB2312" w:hAnsi="华文中宋" w:eastAsia="仿宋_GB2312"/>
          <w:sz w:val="32"/>
          <w:szCs w:val="32"/>
        </w:rPr>
        <w:t>，将于2021年9月1日起施行</w:t>
      </w:r>
      <w:r>
        <w:rPr>
          <w:rFonts w:hint="eastAsia" w:ascii="仿宋_GB2312" w:hAnsi="华文中宋" w:eastAsia="仿宋_GB2312"/>
          <w:sz w:val="32"/>
          <w:szCs w:val="32"/>
          <w:lang w:eastAsia="zh-CN"/>
        </w:rPr>
        <w:t>。为确保新税法顺利实施，根据法律授权，省财政厅、省税务局在广泛开展调研和征求意见的基础上，研究起草了《青海省关于城市维护建设税有关政策的通知（征求意见稿）》（以下简称《征求意见稿》），现将相关情况说明如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一、城市维护建设税基本情况</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lang w:eastAsia="zh-CN"/>
        </w:rPr>
        <w:t>现行城建税基本政策是</w:t>
      </w:r>
      <w:r>
        <w:rPr>
          <w:rFonts w:ascii="仿宋_GB2312" w:hAnsi="华文中宋" w:eastAsia="仿宋_GB2312"/>
          <w:sz w:val="32"/>
          <w:szCs w:val="32"/>
        </w:rPr>
        <w:t>1985年2月8日国务院发布并于同年1月1日实施的《中华人民共和国城市维护建设税暂行条例》</w:t>
      </w:r>
      <w:r>
        <w:rPr>
          <w:rFonts w:hint="eastAsia" w:ascii="仿宋_GB2312" w:hAnsi="华文中宋" w:eastAsia="仿宋_GB2312"/>
          <w:sz w:val="32"/>
          <w:szCs w:val="32"/>
          <w:lang w:eastAsia="zh-CN"/>
        </w:rPr>
        <w:t>。</w:t>
      </w:r>
      <w:r>
        <w:rPr>
          <w:rFonts w:hint="eastAsia" w:ascii="仿宋_GB2312" w:hAnsi="华文中宋" w:eastAsia="仿宋_GB2312"/>
          <w:sz w:val="32"/>
          <w:szCs w:val="32"/>
        </w:rPr>
        <w:t>城建税是以纳税人实际缴纳的增值税、消费税税额</w:t>
      </w:r>
      <w:r>
        <w:rPr>
          <w:rFonts w:hint="eastAsia" w:ascii="仿宋_GB2312" w:hAnsi="华文中宋" w:eastAsia="仿宋_GB2312"/>
          <w:sz w:val="32"/>
          <w:szCs w:val="32"/>
          <w:lang w:eastAsia="zh-CN"/>
        </w:rPr>
        <w:t>之和</w:t>
      </w:r>
      <w:r>
        <w:rPr>
          <w:rFonts w:hint="eastAsia" w:ascii="仿宋_GB2312" w:hAnsi="华文中宋" w:eastAsia="仿宋_GB2312"/>
          <w:sz w:val="32"/>
          <w:szCs w:val="32"/>
        </w:rPr>
        <w:t>为计税依据的附加税</w:t>
      </w:r>
      <w:r>
        <w:rPr>
          <w:rFonts w:hint="eastAsia" w:ascii="仿宋_GB2312" w:hAnsi="华文中宋" w:eastAsia="仿宋_GB2312"/>
          <w:sz w:val="32"/>
          <w:szCs w:val="32"/>
          <w:lang w:eastAsia="zh-CN"/>
        </w:rPr>
        <w:t>，税率分为三档</w:t>
      </w:r>
      <w:r>
        <w:rPr>
          <w:rFonts w:hint="eastAsia" w:ascii="仿宋_GB2312" w:eastAsia="仿宋_GB2312"/>
          <w:sz w:val="32"/>
          <w:szCs w:val="32"/>
          <w:lang w:eastAsia="zh-CN"/>
        </w:rPr>
        <w:t>：</w:t>
      </w:r>
      <w:r>
        <w:rPr>
          <w:rFonts w:ascii="仿宋_GB2312" w:hAnsi="华文中宋" w:eastAsia="仿宋_GB2312"/>
          <w:sz w:val="32"/>
          <w:szCs w:val="32"/>
        </w:rPr>
        <w:t>7%</w:t>
      </w:r>
      <w:r>
        <w:rPr>
          <w:rFonts w:hint="eastAsia" w:ascii="仿宋_GB2312" w:hAnsi="华文中宋" w:eastAsia="仿宋_GB2312"/>
          <w:sz w:val="32"/>
          <w:szCs w:val="32"/>
          <w:lang w:eastAsia="zh-CN"/>
        </w:rPr>
        <w:t>、</w:t>
      </w:r>
      <w:r>
        <w:rPr>
          <w:rFonts w:ascii="仿宋_GB2312" w:hAnsi="华文中宋" w:eastAsia="仿宋_GB2312"/>
          <w:sz w:val="32"/>
          <w:szCs w:val="32"/>
        </w:rPr>
        <w:t>5%</w:t>
      </w:r>
      <w:r>
        <w:rPr>
          <w:rFonts w:hint="eastAsia" w:ascii="仿宋_GB2312" w:hAnsi="华文中宋" w:eastAsia="仿宋_GB2312"/>
          <w:sz w:val="32"/>
          <w:szCs w:val="32"/>
          <w:lang w:eastAsia="zh-CN"/>
        </w:rPr>
        <w:t>、</w:t>
      </w:r>
      <w:r>
        <w:rPr>
          <w:rFonts w:ascii="仿宋_GB2312" w:hAnsi="华文中宋" w:eastAsia="仿宋_GB2312"/>
          <w:sz w:val="32"/>
          <w:szCs w:val="32"/>
        </w:rPr>
        <w:t>1%</w:t>
      </w:r>
      <w:r>
        <w:rPr>
          <w:rFonts w:hint="eastAsia" w:ascii="仿宋_GB2312" w:hAnsi="华文中宋" w:eastAsia="仿宋_GB2312"/>
          <w:sz w:val="32"/>
          <w:szCs w:val="32"/>
          <w:lang w:eastAsia="zh-CN"/>
        </w:rPr>
        <w:t>（</w:t>
      </w:r>
      <w:r>
        <w:rPr>
          <w:rFonts w:hint="eastAsia" w:ascii="仿宋_GB2312" w:hAnsi="华文中宋" w:eastAsia="仿宋_GB2312"/>
          <w:sz w:val="32"/>
          <w:szCs w:val="32"/>
        </w:rPr>
        <w:t>本次立法</w:t>
      </w:r>
      <w:r>
        <w:rPr>
          <w:rFonts w:hint="eastAsia" w:ascii="仿宋_GB2312" w:eastAsia="仿宋_GB2312"/>
          <w:sz w:val="32"/>
          <w:szCs w:val="32"/>
        </w:rPr>
        <w:t>维持现行税率不变</w:t>
      </w:r>
      <w:r>
        <w:rPr>
          <w:rFonts w:hint="eastAsia" w:ascii="仿宋_GB2312" w:eastAsia="仿宋_GB2312"/>
          <w:sz w:val="32"/>
          <w:szCs w:val="32"/>
          <w:lang w:eastAsia="zh-CN"/>
        </w:rPr>
        <w:t>）</w:t>
      </w:r>
      <w:r>
        <w:rPr>
          <w:rFonts w:ascii="仿宋_GB2312" w:hAnsi="华文中宋" w:eastAsia="仿宋_GB2312"/>
          <w:sz w:val="32"/>
          <w:szCs w:val="32"/>
        </w:rPr>
        <w:t>。</w:t>
      </w:r>
      <w:r>
        <w:rPr>
          <w:rFonts w:hint="eastAsia" w:ascii="仿宋_GB2312" w:hAnsi="华文中宋" w:eastAsia="仿宋_GB2312"/>
          <w:sz w:val="32"/>
          <w:szCs w:val="32"/>
          <w:lang w:val="en-US" w:eastAsia="zh-CN"/>
        </w:rPr>
        <w:t>1985年以来，</w:t>
      </w:r>
      <w:r>
        <w:rPr>
          <w:rFonts w:hint="eastAsia" w:ascii="仿宋_GB2312" w:hAnsi="华文中宋" w:eastAsia="仿宋_GB2312"/>
          <w:sz w:val="32"/>
          <w:szCs w:val="32"/>
        </w:rPr>
        <w:t>城建税收入专项用于城市的公用事业、公共设施以及乡镇的维护建设。随着预算管理制度改革深化，自</w:t>
      </w:r>
      <w:r>
        <w:rPr>
          <w:rFonts w:ascii="仿宋_GB2312" w:hAnsi="华文中宋" w:eastAsia="仿宋_GB2312"/>
          <w:sz w:val="32"/>
          <w:szCs w:val="32"/>
        </w:rPr>
        <w:t>2016年起城建税收入已由预算统筹安排，不再指定专项用途。</w:t>
      </w:r>
    </w:p>
    <w:p>
      <w:pPr>
        <w:ind w:firstLine="640" w:firstLineChars="200"/>
        <w:rPr>
          <w:rFonts w:hint="eastAsia" w:ascii="黑体" w:hAnsi="黑体" w:eastAsia="黑体" w:cs="黑体"/>
          <w:sz w:val="32"/>
          <w:szCs w:val="32"/>
          <w:lang w:eastAsia="zh-CN"/>
        </w:rPr>
      </w:pP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二、制定依据</w:t>
      </w:r>
    </w:p>
    <w:p>
      <w:pPr>
        <w:ind w:firstLine="640" w:firstLineChars="200"/>
        <w:rPr>
          <w:rFonts w:hint="eastAsia" w:ascii="仿宋_GB2312" w:hAnsi="华文中宋" w:eastAsia="仿宋_GB2312"/>
          <w:b w:val="0"/>
          <w:bCs w:val="0"/>
          <w:sz w:val="32"/>
          <w:szCs w:val="32"/>
          <w:lang w:eastAsia="zh-CN"/>
        </w:rPr>
      </w:pPr>
      <w:r>
        <w:rPr>
          <w:rFonts w:ascii="仿宋_GB2312" w:eastAsia="仿宋_GB2312"/>
          <w:sz w:val="32"/>
          <w:szCs w:val="32"/>
        </w:rPr>
        <w:t>《</w:t>
      </w:r>
      <w:r>
        <w:rPr>
          <w:rFonts w:hint="eastAsia" w:ascii="仿宋_GB2312" w:eastAsia="仿宋_GB2312"/>
          <w:sz w:val="32"/>
          <w:szCs w:val="32"/>
        </w:rPr>
        <w:t>城建税</w:t>
      </w:r>
      <w:r>
        <w:rPr>
          <w:rFonts w:ascii="仿宋_GB2312" w:eastAsia="仿宋_GB2312"/>
          <w:sz w:val="32"/>
          <w:szCs w:val="32"/>
        </w:rPr>
        <w:t>法》</w:t>
      </w:r>
      <w:r>
        <w:rPr>
          <w:rFonts w:hint="eastAsia" w:ascii="仿宋_GB2312" w:eastAsia="仿宋_GB2312"/>
          <w:sz w:val="32"/>
          <w:szCs w:val="32"/>
          <w:lang w:eastAsia="zh-CN"/>
        </w:rPr>
        <w:t>第四条规定，“</w:t>
      </w:r>
      <w:r>
        <w:rPr>
          <w:rFonts w:hint="eastAsia" w:ascii="仿宋_GB2312" w:hAnsi="华文中宋" w:eastAsia="仿宋_GB2312"/>
          <w:b w:val="0"/>
          <w:bCs w:val="0"/>
          <w:sz w:val="32"/>
          <w:szCs w:val="32"/>
        </w:rPr>
        <w:t>城市维护建设税税率如下</w:t>
      </w:r>
      <w:r>
        <w:rPr>
          <w:rFonts w:hint="eastAsia" w:ascii="仿宋_GB2312" w:hAnsi="华文中宋" w:eastAsia="仿宋_GB2312"/>
          <w:b w:val="0"/>
          <w:bCs w:val="0"/>
          <w:sz w:val="32"/>
          <w:szCs w:val="32"/>
          <w:lang w:eastAsia="zh-CN"/>
        </w:rPr>
        <w:t>：</w:t>
      </w:r>
      <w:r>
        <w:rPr>
          <w:rFonts w:hint="eastAsia" w:ascii="仿宋_GB2312" w:hAnsi="华文中宋" w:eastAsia="仿宋_GB2312"/>
          <w:b w:val="0"/>
          <w:bCs w:val="0"/>
          <w:sz w:val="32"/>
          <w:szCs w:val="32"/>
        </w:rPr>
        <w:t>（一）纳税人所在地在市区的，税率为百分之七；（二）纳税人所在地在县城、镇的，税率为百分之五；（三）纳税人所在地不在市区、县城或者镇的，税率为百分之一。前款所称</w:t>
      </w:r>
      <w:r>
        <w:rPr>
          <w:rFonts w:hint="eastAsia" w:ascii="仿宋_GB2312" w:hAnsi="华文中宋" w:eastAsia="仿宋_GB2312"/>
          <w:b/>
          <w:bCs/>
          <w:sz w:val="32"/>
          <w:szCs w:val="32"/>
        </w:rPr>
        <w:t>纳税人所在地</w:t>
      </w:r>
      <w:r>
        <w:rPr>
          <w:rFonts w:hint="eastAsia" w:ascii="仿宋_GB2312" w:hAnsi="华文中宋" w:eastAsia="仿宋_GB2312"/>
          <w:b w:val="0"/>
          <w:bCs w:val="0"/>
          <w:sz w:val="32"/>
          <w:szCs w:val="32"/>
        </w:rPr>
        <w:t>，是指纳税人住所地或者与纳税人生产经营活动相关的其他地点，</w:t>
      </w:r>
      <w:r>
        <w:rPr>
          <w:rFonts w:hint="eastAsia" w:ascii="仿宋_GB2312" w:hAnsi="华文中宋" w:eastAsia="仿宋_GB2312"/>
          <w:b/>
          <w:bCs/>
          <w:sz w:val="32"/>
          <w:szCs w:val="32"/>
        </w:rPr>
        <w:t>具体地点由省、自治区、直辖市确定</w:t>
      </w:r>
      <w:r>
        <w:rPr>
          <w:rFonts w:hint="eastAsia" w:ascii="仿宋_GB2312" w:hAnsi="华文中宋" w:eastAsia="仿宋_GB2312"/>
          <w:b w:val="0"/>
          <w:bCs w:val="0"/>
          <w:sz w:val="32"/>
          <w:szCs w:val="32"/>
        </w:rPr>
        <w:t xml:space="preserve"> </w:t>
      </w:r>
      <w:r>
        <w:rPr>
          <w:rFonts w:hint="eastAsia" w:ascii="仿宋_GB2312" w:hAnsi="华文中宋" w:eastAsia="仿宋_GB2312"/>
          <w:b w:val="0"/>
          <w:bCs w:val="0"/>
          <w:sz w:val="32"/>
          <w:szCs w:val="32"/>
          <w:lang w:eastAsia="zh-CN"/>
        </w:rPr>
        <w:t>”</w:t>
      </w:r>
      <w:r>
        <w:rPr>
          <w:rFonts w:hint="eastAsia" w:ascii="仿宋_GB2312" w:hAnsi="华文中宋" w:eastAsia="仿宋_GB2312"/>
          <w:b/>
          <w:bCs/>
          <w:sz w:val="32"/>
          <w:szCs w:val="32"/>
        </w:rPr>
        <w:t>。</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三、主要内容</w:t>
      </w:r>
    </w:p>
    <w:p>
      <w:pPr>
        <w:ind w:firstLine="640" w:firstLineChars="200"/>
        <w:rPr>
          <w:rFonts w:hint="eastAsia" w:ascii="仿宋_GB2312" w:eastAsia="仿宋_GB2312"/>
          <w:sz w:val="32"/>
          <w:szCs w:val="32"/>
          <w:lang w:eastAsia="zh-CN"/>
        </w:rPr>
      </w:pPr>
      <w:r>
        <w:rPr>
          <w:rFonts w:hint="eastAsia" w:ascii="楷体_GB2312" w:hAnsi="楷体_GB2312" w:eastAsia="楷体_GB2312" w:cs="楷体_GB2312"/>
          <w:b w:val="0"/>
          <w:bCs w:val="0"/>
          <w:sz w:val="32"/>
          <w:szCs w:val="32"/>
          <w:lang w:val="en-US" w:eastAsia="zh-CN"/>
        </w:rPr>
        <w:t>《征求意见稿》</w:t>
      </w:r>
      <w:r>
        <w:rPr>
          <w:rFonts w:hint="eastAsia" w:ascii="仿宋_GB2312" w:eastAsia="仿宋_GB2312"/>
          <w:sz w:val="32"/>
          <w:szCs w:val="32"/>
          <w:lang w:eastAsia="zh-CN"/>
        </w:rPr>
        <w:t>按照法律授权事项和总体原则，规定以下事项：</w:t>
      </w:r>
    </w:p>
    <w:p>
      <w:pPr>
        <w:ind w:firstLine="640" w:firstLineChars="200"/>
        <w:rPr>
          <w:rFonts w:hint="eastAsia" w:ascii="仿宋_GB2312" w:eastAsia="仿宋_GB2312"/>
          <w:sz w:val="32"/>
          <w:szCs w:val="32"/>
          <w:lang w:eastAsia="zh-CN"/>
        </w:rPr>
      </w:pP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eastAsia="zh-CN"/>
        </w:rPr>
        <w:t>明确纳税人所在地的一般规定。</w:t>
      </w:r>
      <w:r>
        <w:rPr>
          <w:rFonts w:hint="eastAsia" w:ascii="仿宋_GB2312" w:eastAsia="仿宋_GB2312"/>
          <w:b w:val="0"/>
          <w:bCs w:val="0"/>
          <w:sz w:val="32"/>
          <w:szCs w:val="32"/>
          <w:lang w:eastAsia="zh-CN"/>
        </w:rPr>
        <w:t>将</w:t>
      </w:r>
      <w:r>
        <w:rPr>
          <w:rFonts w:hint="eastAsia" w:ascii="仿宋_GB2312" w:eastAsia="仿宋_GB2312"/>
          <w:sz w:val="32"/>
          <w:szCs w:val="32"/>
        </w:rPr>
        <w:t>纳税人营业执照上登记的“住所”地址</w:t>
      </w:r>
      <w:r>
        <w:rPr>
          <w:rFonts w:hint="eastAsia" w:ascii="仿宋_GB2312" w:eastAsia="仿宋_GB2312"/>
          <w:sz w:val="32"/>
          <w:szCs w:val="32"/>
          <w:lang w:eastAsia="zh-CN"/>
        </w:rPr>
        <w:t>（个体工商户以营业执照上登记的“经营场所”地址）作为纳税人所在地。</w:t>
      </w:r>
      <w:r>
        <w:rPr>
          <w:rFonts w:ascii="仿宋_GB2312" w:eastAsia="仿宋_GB2312"/>
          <w:sz w:val="32"/>
          <w:szCs w:val="32"/>
        </w:rPr>
        <w:t>纳税人住所地与纳税人</w:t>
      </w:r>
      <w:r>
        <w:rPr>
          <w:rFonts w:hint="eastAsia" w:ascii="仿宋_GB2312" w:eastAsia="仿宋_GB2312"/>
          <w:sz w:val="32"/>
          <w:szCs w:val="32"/>
          <w:lang w:eastAsia="zh-CN"/>
        </w:rPr>
        <w:t>实际</w:t>
      </w:r>
      <w:r>
        <w:rPr>
          <w:rFonts w:ascii="仿宋_GB2312" w:eastAsia="仿宋_GB2312"/>
          <w:sz w:val="32"/>
          <w:szCs w:val="32"/>
        </w:rPr>
        <w:t>生产经营</w:t>
      </w:r>
      <w:r>
        <w:rPr>
          <w:rFonts w:hint="eastAsia" w:ascii="仿宋_GB2312" w:eastAsia="仿宋_GB2312"/>
          <w:sz w:val="32"/>
          <w:szCs w:val="32"/>
          <w:lang w:eastAsia="zh-CN"/>
        </w:rPr>
        <w:t>地不一致时，以实际生产经营地作为纳税人所在地。</w:t>
      </w:r>
    </w:p>
    <w:p>
      <w:pPr>
        <w:ind w:firstLine="640" w:firstLineChars="200"/>
        <w:rPr>
          <w:rFonts w:hint="eastAsia" w:ascii="仿宋_GB2312" w:eastAsia="仿宋_GB2312"/>
          <w:b w:val="0"/>
          <w:bCs w:val="0"/>
          <w:sz w:val="32"/>
          <w:szCs w:val="32"/>
          <w:lang w:val="en-US" w:eastAsia="zh-CN"/>
        </w:rPr>
      </w:pPr>
      <w:r>
        <w:rPr>
          <w:rFonts w:hint="eastAsia" w:ascii="楷体_GB2312" w:hAnsi="楷体_GB2312" w:eastAsia="楷体_GB2312" w:cs="楷体_GB2312"/>
          <w:b w:val="0"/>
          <w:bCs w:val="0"/>
          <w:sz w:val="32"/>
          <w:szCs w:val="32"/>
          <w:lang w:eastAsia="zh-CN"/>
        </w:rPr>
        <w:t>（二）明确纳税人所在地的特殊规定。</w:t>
      </w:r>
      <w:r>
        <w:rPr>
          <w:rFonts w:hint="eastAsia" w:ascii="仿宋_GB2312" w:hAnsi="仿宋_GB2312" w:eastAsia="仿宋_GB2312" w:cs="仿宋_GB2312"/>
          <w:b/>
          <w:bCs/>
          <w:sz w:val="32"/>
          <w:szCs w:val="32"/>
          <w:lang w:eastAsia="zh-CN"/>
        </w:rPr>
        <w:t>一是</w:t>
      </w:r>
      <w:r>
        <w:rPr>
          <w:rFonts w:hint="eastAsia" w:ascii="仿宋_GB2312" w:eastAsia="仿宋_GB2312"/>
          <w:b w:val="0"/>
          <w:bCs w:val="0"/>
          <w:sz w:val="32"/>
          <w:szCs w:val="32"/>
          <w:lang w:eastAsia="zh-CN"/>
        </w:rPr>
        <w:t>对实行增值税汇总缴纳的纳税人，总机构、分支机构各自缴纳的城市维护建设税分别以其</w:t>
      </w:r>
      <w:r>
        <w:rPr>
          <w:rFonts w:hint="eastAsia" w:ascii="仿宋_GB2312" w:eastAsia="仿宋_GB2312"/>
          <w:sz w:val="32"/>
          <w:szCs w:val="32"/>
          <w:lang w:eastAsia="zh-CN"/>
        </w:rPr>
        <w:t>所在</w:t>
      </w:r>
      <w:r>
        <w:rPr>
          <w:rFonts w:hint="eastAsia" w:ascii="仿宋_GB2312" w:eastAsia="仿宋_GB2312"/>
          <w:sz w:val="32"/>
          <w:szCs w:val="32"/>
        </w:rPr>
        <w:t>地</w:t>
      </w:r>
      <w:r>
        <w:rPr>
          <w:rFonts w:hint="eastAsia" w:ascii="仿宋_GB2312" w:eastAsia="仿宋_GB2312"/>
          <w:b w:val="0"/>
          <w:bCs w:val="0"/>
          <w:sz w:val="32"/>
          <w:szCs w:val="32"/>
          <w:lang w:eastAsia="zh-CN"/>
        </w:rPr>
        <w:t>作为纳税人所在地。</w:t>
      </w:r>
      <w:r>
        <w:rPr>
          <w:rFonts w:hint="eastAsia" w:ascii="仿宋_GB2312" w:eastAsia="仿宋_GB2312"/>
          <w:b/>
          <w:bCs/>
          <w:sz w:val="32"/>
          <w:szCs w:val="32"/>
          <w:lang w:eastAsia="zh-CN"/>
        </w:rPr>
        <w:t>二是</w:t>
      </w:r>
      <w:r>
        <w:rPr>
          <w:rFonts w:hint="eastAsia" w:ascii="仿宋_GB2312" w:eastAsia="仿宋_GB2312"/>
          <w:b w:val="0"/>
          <w:bCs w:val="0"/>
          <w:sz w:val="32"/>
          <w:szCs w:val="32"/>
          <w:lang w:val="en-US" w:eastAsia="zh-CN"/>
        </w:rPr>
        <w:t>纳税人跨地区提供建筑服务、销售和出租不动产的，在建筑服务发生地、不动产所在地预缴增值税时，以预缴增值税税额为计税依据，按预缴增值税所在地税率缴纳城建税；预缴增值税的纳税人在其机构所在地申报缴纳增值税时，以其实际缴纳的增值税税额为计税依据，按机构所在地税率缴纳城建税。</w:t>
      </w:r>
      <w:r>
        <w:rPr>
          <w:rFonts w:hint="eastAsia" w:ascii="仿宋_GB2312" w:eastAsia="仿宋_GB2312"/>
          <w:b/>
          <w:bCs/>
          <w:sz w:val="32"/>
          <w:szCs w:val="32"/>
          <w:lang w:eastAsia="zh-CN"/>
        </w:rPr>
        <w:t>三是</w:t>
      </w:r>
      <w:r>
        <w:rPr>
          <w:rFonts w:hint="eastAsia" w:ascii="仿宋_GB2312" w:eastAsia="仿宋_GB2312"/>
          <w:b w:val="0"/>
          <w:bCs w:val="0"/>
          <w:sz w:val="32"/>
          <w:szCs w:val="32"/>
          <w:lang w:val="en-US" w:eastAsia="zh-CN"/>
        </w:rPr>
        <w:t>代扣代缴或代收代缴增值税和消费税以及流动经营等无固定纳税地点的单位和个人，按代扣代缴、代收代缴或缴纳增值税、消费税的地点确定适用税率。</w:t>
      </w:r>
    </w:p>
    <w:p>
      <w:pPr>
        <w:ind w:firstLine="640" w:firstLineChars="200"/>
        <w:rPr>
          <w:rFonts w:hint="eastAsia" w:ascii="仿宋_GB2312" w:eastAsia="仿宋_GB2312"/>
          <w:sz w:val="32"/>
          <w:szCs w:val="32"/>
          <w:lang w:val="en-US" w:eastAsia="zh-CN"/>
        </w:rPr>
      </w:pPr>
      <w:r>
        <w:rPr>
          <w:rFonts w:hint="eastAsia" w:ascii="楷体_GB2312" w:hAnsi="楷体_GB2312" w:eastAsia="楷体_GB2312" w:cs="楷体_GB2312"/>
          <w:b w:val="0"/>
          <w:bCs w:val="0"/>
          <w:sz w:val="32"/>
          <w:szCs w:val="32"/>
          <w:lang w:eastAsia="zh-CN"/>
        </w:rPr>
        <w:t>（三）明确纳税人所在地的划分标准。</w:t>
      </w:r>
      <w:r>
        <w:rPr>
          <w:rFonts w:hint="eastAsia" w:ascii="仿宋_GB2312" w:eastAsia="仿宋_GB2312"/>
          <w:b w:val="0"/>
          <w:bCs w:val="0"/>
          <w:sz w:val="32"/>
          <w:szCs w:val="32"/>
          <w:lang w:eastAsia="zh-CN"/>
        </w:rPr>
        <w:t>明确</w:t>
      </w:r>
      <w:r>
        <w:rPr>
          <w:rFonts w:hint="eastAsia" w:ascii="仿宋_GB2312" w:eastAsia="仿宋_GB2312"/>
          <w:sz w:val="32"/>
          <w:szCs w:val="32"/>
          <w:lang w:eastAsia="zh-CN"/>
        </w:rPr>
        <w:t>《城建税法》</w:t>
      </w:r>
      <w:r>
        <w:rPr>
          <w:rFonts w:hint="eastAsia" w:ascii="仿宋_GB2312" w:eastAsia="仿宋_GB2312"/>
          <w:sz w:val="32"/>
          <w:szCs w:val="32"/>
        </w:rPr>
        <w:t>所称的“市区”、“县城、镇”按照民政部门规定的行政区划确定</w:t>
      </w:r>
      <w:r>
        <w:rPr>
          <w:rFonts w:hint="eastAsia" w:ascii="仿宋_GB2312" w:eastAsia="仿宋_GB2312"/>
          <w:sz w:val="32"/>
          <w:szCs w:val="32"/>
          <w:lang w:eastAsia="zh-CN"/>
        </w:rPr>
        <w:t>。设区市的区辖全部行政区域和不设区市辖全部行政区域都作为“市区”；县及县以上（不含市）人民政府所在镇的镇区和其他镇区为“</w:t>
      </w:r>
      <w:r>
        <w:rPr>
          <w:rFonts w:hint="eastAsia" w:ascii="仿宋_GB2312" w:eastAsia="仿宋_GB2312"/>
          <w:sz w:val="32"/>
          <w:szCs w:val="32"/>
        </w:rPr>
        <w:t>县城、镇</w:t>
      </w:r>
      <w:r>
        <w:rPr>
          <w:rFonts w:hint="eastAsia" w:ascii="仿宋_GB2312" w:eastAsia="仿宋_GB2312"/>
          <w:sz w:val="32"/>
          <w:szCs w:val="32"/>
          <w:lang w:eastAsia="zh-CN"/>
        </w:rPr>
        <w:t>”。</w:t>
      </w:r>
      <w:r>
        <w:rPr>
          <w:rFonts w:hint="eastAsia" w:ascii="仿宋_GB2312" w:eastAsia="仿宋_GB2312"/>
          <w:sz w:val="32"/>
          <w:szCs w:val="32"/>
        </w:rPr>
        <w:t>行政区划改变</w:t>
      </w:r>
      <w:r>
        <w:rPr>
          <w:rFonts w:hint="eastAsia" w:ascii="仿宋_GB2312" w:eastAsia="仿宋_GB2312"/>
          <w:sz w:val="32"/>
          <w:szCs w:val="32"/>
          <w:lang w:eastAsia="zh-CN"/>
        </w:rPr>
        <w:t>时</w:t>
      </w:r>
      <w:r>
        <w:rPr>
          <w:rFonts w:hint="eastAsia" w:ascii="仿宋_GB2312" w:eastAsia="仿宋_GB2312"/>
          <w:sz w:val="32"/>
          <w:szCs w:val="32"/>
        </w:rPr>
        <w:t>，</w:t>
      </w:r>
      <w:r>
        <w:rPr>
          <w:rFonts w:hint="eastAsia" w:ascii="仿宋_GB2312" w:eastAsia="仿宋_GB2312"/>
          <w:b w:val="0"/>
          <w:bCs w:val="0"/>
          <w:sz w:val="32"/>
          <w:szCs w:val="32"/>
          <w:lang w:val="en-US" w:eastAsia="zh-CN"/>
        </w:rPr>
        <w:t>撤县设市和撤县设区的，以国家批复</w:t>
      </w:r>
      <w:r>
        <w:rPr>
          <w:rFonts w:hint="eastAsia" w:ascii="仿宋_GB2312" w:eastAsia="仿宋_GB2312"/>
          <w:sz w:val="32"/>
          <w:szCs w:val="32"/>
        </w:rPr>
        <w:t>时</w:t>
      </w:r>
      <w:r>
        <w:rPr>
          <w:rFonts w:hint="eastAsia" w:ascii="仿宋_GB2312" w:eastAsia="仿宋_GB2312"/>
          <w:sz w:val="32"/>
          <w:szCs w:val="32"/>
          <w:lang w:eastAsia="zh-CN"/>
        </w:rPr>
        <w:t>间</w:t>
      </w:r>
      <w:r>
        <w:rPr>
          <w:rFonts w:hint="eastAsia" w:ascii="仿宋_GB2312" w:eastAsia="仿宋_GB2312"/>
          <w:sz w:val="32"/>
          <w:szCs w:val="32"/>
        </w:rPr>
        <w:t>的下一个申报期适用新区划对应的</w:t>
      </w:r>
      <w:r>
        <w:rPr>
          <w:rFonts w:hint="eastAsia" w:ascii="仿宋_GB2312" w:eastAsia="仿宋_GB2312"/>
          <w:sz w:val="32"/>
          <w:szCs w:val="32"/>
          <w:lang w:eastAsia="zh-CN"/>
        </w:rPr>
        <w:t>城市维护建设税</w:t>
      </w:r>
      <w:r>
        <w:rPr>
          <w:rFonts w:hint="eastAsia" w:ascii="仿宋_GB2312" w:eastAsia="仿宋_GB2312"/>
          <w:sz w:val="32"/>
          <w:szCs w:val="32"/>
        </w:rPr>
        <w:t>税率</w:t>
      </w:r>
      <w:r>
        <w:rPr>
          <w:rFonts w:hint="eastAsia" w:ascii="仿宋_GB2312" w:eastAsia="仿宋_GB2312"/>
          <w:b w:val="0"/>
          <w:bCs w:val="0"/>
          <w:sz w:val="32"/>
          <w:szCs w:val="32"/>
          <w:lang w:val="en-US" w:eastAsia="zh-CN"/>
        </w:rPr>
        <w:t>；撤乡设镇和撤行委设县以省政府批复</w:t>
      </w:r>
      <w:r>
        <w:rPr>
          <w:rFonts w:hint="eastAsia" w:ascii="仿宋_GB2312" w:eastAsia="仿宋_GB2312"/>
          <w:sz w:val="32"/>
          <w:szCs w:val="32"/>
        </w:rPr>
        <w:t>时</w:t>
      </w:r>
      <w:r>
        <w:rPr>
          <w:rFonts w:hint="eastAsia" w:ascii="仿宋_GB2312" w:eastAsia="仿宋_GB2312"/>
          <w:sz w:val="32"/>
          <w:szCs w:val="32"/>
          <w:lang w:eastAsia="zh-CN"/>
        </w:rPr>
        <w:t>间</w:t>
      </w:r>
      <w:r>
        <w:rPr>
          <w:rFonts w:hint="eastAsia" w:ascii="仿宋_GB2312" w:eastAsia="仿宋_GB2312"/>
          <w:sz w:val="32"/>
          <w:szCs w:val="32"/>
        </w:rPr>
        <w:t>的下一个申报期适用新区划对应的</w:t>
      </w:r>
      <w:r>
        <w:rPr>
          <w:rFonts w:hint="eastAsia" w:ascii="仿宋_GB2312" w:eastAsia="仿宋_GB2312"/>
          <w:sz w:val="32"/>
          <w:szCs w:val="32"/>
          <w:lang w:eastAsia="zh-CN"/>
        </w:rPr>
        <w:t>城市维护建设税</w:t>
      </w:r>
      <w:r>
        <w:rPr>
          <w:rFonts w:hint="eastAsia" w:ascii="仿宋_GB2312" w:eastAsia="仿宋_GB2312"/>
          <w:sz w:val="32"/>
          <w:szCs w:val="32"/>
        </w:rPr>
        <w:t>税率</w:t>
      </w:r>
      <w:r>
        <w:rPr>
          <w:rFonts w:hint="eastAsia" w:ascii="仿宋_GB2312" w:eastAsia="仿宋_GB2312"/>
          <w:sz w:val="32"/>
          <w:szCs w:val="32"/>
          <w:lang w:eastAsia="zh-CN"/>
        </w:rPr>
        <w:t>。</w:t>
      </w:r>
    </w:p>
    <w:p>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00"/>
    <w:family w:val="auto"/>
    <w:pitch w:val="default"/>
    <w:sig w:usb0="00000000" w:usb1="00000000" w:usb2="00000010" w:usb3="00000000" w:csb0="0004009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8E2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2021-04-29T01:55:20Z</dcterms:created>
  <dc:creator>Administrator</dc:creator>
  <cp:lastModifiedBy>Administrator</cp:lastModifiedBy>
  <dcterms:modified xsi:type="dcterms:W3CDTF">2021-04-29T01:55:23Z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