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rPr>
        <w:t>附件</w:t>
      </w:r>
      <w:r>
        <w:rPr>
          <w:rFonts w:hint="eastAsia" w:ascii="黑体" w:hAnsi="黑体" w:eastAsia="黑体" w:cs="黑体"/>
          <w:sz w:val="32"/>
          <w:szCs w:val="32"/>
          <w:highlight w:val="none"/>
          <w:lang w:val="en-US" w:eastAsia="zh-CN"/>
        </w:rPr>
        <w:t>1</w:t>
      </w:r>
    </w:p>
    <w:p>
      <w:pPr>
        <w:jc w:val="center"/>
        <w:rPr>
          <w:rFonts w:hint="eastAsia" w:ascii="方正小标宋简体" w:hAnsi="宋体" w:eastAsia="方正小标宋简体"/>
          <w:sz w:val="44"/>
          <w:szCs w:val="44"/>
          <w:highlight w:val="none"/>
        </w:rPr>
      </w:pPr>
      <w:r>
        <w:rPr>
          <w:rFonts w:hint="eastAsia" w:ascii="方正小标宋简体" w:hAnsi="宋体" w:eastAsia="方正小标宋简体"/>
          <w:sz w:val="44"/>
          <w:szCs w:val="44"/>
          <w:highlight w:val="none"/>
        </w:rPr>
        <w:t>北京市定价目录（修订</w:t>
      </w:r>
      <w:r>
        <w:rPr>
          <w:rFonts w:hint="eastAsia" w:ascii="方正小标宋简体" w:hAnsi="宋体" w:eastAsia="方正小标宋简体"/>
          <w:sz w:val="44"/>
          <w:szCs w:val="44"/>
          <w:highlight w:val="none"/>
          <w:lang w:eastAsia="zh-CN"/>
        </w:rPr>
        <w:t>征求意见</w:t>
      </w:r>
      <w:r>
        <w:rPr>
          <w:rFonts w:hint="eastAsia" w:ascii="方正小标宋简体" w:hAnsi="宋体" w:eastAsia="方正小标宋简体"/>
          <w:sz w:val="44"/>
          <w:szCs w:val="44"/>
          <w:highlight w:val="none"/>
        </w:rPr>
        <w:t>稿）</w:t>
      </w:r>
    </w:p>
    <w:tbl>
      <w:tblPr>
        <w:tblStyle w:val="3"/>
        <w:tblW w:w="142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1202"/>
        <w:gridCol w:w="706"/>
        <w:gridCol w:w="4889"/>
        <w:gridCol w:w="2415"/>
        <w:gridCol w:w="43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blHeader/>
          <w:jc w:val="center"/>
        </w:trPr>
        <w:tc>
          <w:tcPr>
            <w:tcW w:w="721" w:type="dxa"/>
            <w:tcBorders>
              <w:tl2br w:val="nil"/>
              <w:tr2bl w:val="nil"/>
            </w:tcBorders>
            <w:noWrap w:val="0"/>
            <w:vAlign w:val="center"/>
          </w:tcPr>
          <w:p>
            <w:pPr>
              <w:widowControl/>
              <w:spacing w:line="320" w:lineRule="exact"/>
              <w:jc w:val="center"/>
              <w:rPr>
                <w:rFonts w:hint="eastAsia" w:ascii="黑体" w:eastAsia="黑体" w:cs="宋体"/>
                <w:bCs/>
                <w:kern w:val="0"/>
                <w:sz w:val="24"/>
                <w:highlight w:val="none"/>
              </w:rPr>
            </w:pPr>
            <w:r>
              <w:rPr>
                <w:rFonts w:hint="eastAsia" w:ascii="黑体" w:hAnsi="宋体" w:eastAsia="黑体" w:cs="宋体"/>
                <w:bCs/>
                <w:kern w:val="0"/>
                <w:sz w:val="24"/>
                <w:highlight w:val="none"/>
              </w:rPr>
              <w:t>序号</w:t>
            </w:r>
          </w:p>
        </w:tc>
        <w:tc>
          <w:tcPr>
            <w:tcW w:w="1202" w:type="dxa"/>
            <w:tcBorders>
              <w:tl2br w:val="nil"/>
              <w:tr2bl w:val="nil"/>
            </w:tcBorders>
            <w:noWrap w:val="0"/>
            <w:vAlign w:val="center"/>
          </w:tcPr>
          <w:p>
            <w:pPr>
              <w:widowControl/>
              <w:spacing w:line="320" w:lineRule="exact"/>
              <w:jc w:val="center"/>
              <w:rPr>
                <w:rFonts w:hint="eastAsia" w:ascii="黑体" w:eastAsia="黑体" w:cs="宋体"/>
                <w:bCs/>
                <w:color w:val="333333"/>
                <w:kern w:val="0"/>
                <w:sz w:val="24"/>
                <w:highlight w:val="none"/>
              </w:rPr>
            </w:pPr>
            <w:r>
              <w:rPr>
                <w:rFonts w:hint="eastAsia" w:ascii="黑体" w:hAnsi="宋体" w:eastAsia="黑体" w:cs="宋体"/>
                <w:bCs/>
                <w:color w:val="333333"/>
                <w:kern w:val="0"/>
                <w:sz w:val="24"/>
                <w:highlight w:val="none"/>
              </w:rPr>
              <w:t>项目</w:t>
            </w:r>
          </w:p>
        </w:tc>
        <w:tc>
          <w:tcPr>
            <w:tcW w:w="5595" w:type="dxa"/>
            <w:gridSpan w:val="2"/>
            <w:tcBorders>
              <w:tl2br w:val="nil"/>
              <w:tr2bl w:val="nil"/>
            </w:tcBorders>
            <w:noWrap w:val="0"/>
            <w:vAlign w:val="center"/>
          </w:tcPr>
          <w:p>
            <w:pPr>
              <w:widowControl/>
              <w:spacing w:line="320" w:lineRule="exact"/>
              <w:jc w:val="center"/>
              <w:rPr>
                <w:rFonts w:hint="eastAsia" w:ascii="黑体" w:eastAsia="黑体" w:cs="宋体"/>
                <w:bCs/>
                <w:color w:val="333333"/>
                <w:kern w:val="0"/>
                <w:sz w:val="24"/>
                <w:highlight w:val="none"/>
              </w:rPr>
            </w:pPr>
            <w:r>
              <w:rPr>
                <w:rFonts w:hint="eastAsia" w:ascii="黑体" w:hAnsi="宋体" w:eastAsia="黑体" w:cs="宋体"/>
                <w:bCs/>
                <w:color w:val="333333"/>
                <w:kern w:val="0"/>
                <w:sz w:val="24"/>
                <w:highlight w:val="none"/>
              </w:rPr>
              <w:t>定价内容</w:t>
            </w:r>
          </w:p>
        </w:tc>
        <w:tc>
          <w:tcPr>
            <w:tcW w:w="2415" w:type="dxa"/>
            <w:tcBorders>
              <w:tl2br w:val="nil"/>
              <w:tr2bl w:val="nil"/>
            </w:tcBorders>
            <w:noWrap w:val="0"/>
            <w:vAlign w:val="center"/>
          </w:tcPr>
          <w:p>
            <w:pPr>
              <w:widowControl/>
              <w:spacing w:line="320" w:lineRule="exact"/>
              <w:jc w:val="center"/>
              <w:rPr>
                <w:rFonts w:hint="eastAsia" w:ascii="黑体" w:eastAsia="黑体" w:cs="宋体"/>
                <w:bCs/>
                <w:color w:val="333333"/>
                <w:kern w:val="0"/>
                <w:sz w:val="24"/>
                <w:highlight w:val="none"/>
              </w:rPr>
            </w:pPr>
            <w:r>
              <w:rPr>
                <w:rFonts w:hint="eastAsia" w:ascii="黑体" w:hAnsi="宋体" w:eastAsia="黑体" w:cs="宋体"/>
                <w:bCs/>
                <w:color w:val="333333"/>
                <w:kern w:val="0"/>
                <w:sz w:val="24"/>
                <w:highlight w:val="none"/>
              </w:rPr>
              <w:t>定价部门</w:t>
            </w:r>
          </w:p>
        </w:tc>
        <w:tc>
          <w:tcPr>
            <w:tcW w:w="4366" w:type="dxa"/>
            <w:tcBorders>
              <w:tl2br w:val="nil"/>
              <w:tr2bl w:val="nil"/>
            </w:tcBorders>
            <w:noWrap w:val="0"/>
            <w:vAlign w:val="center"/>
          </w:tcPr>
          <w:p>
            <w:pPr>
              <w:widowControl/>
              <w:spacing w:line="320" w:lineRule="exact"/>
              <w:jc w:val="center"/>
              <w:rPr>
                <w:rFonts w:hint="eastAsia" w:ascii="黑体" w:eastAsia="黑体" w:cs="宋体"/>
                <w:bCs/>
                <w:kern w:val="0"/>
                <w:sz w:val="24"/>
                <w:highlight w:val="none"/>
              </w:rPr>
            </w:pPr>
            <w:r>
              <w:rPr>
                <w:rFonts w:hint="eastAsia" w:ascii="黑体" w:hAnsi="宋体" w:eastAsia="黑体" w:cs="宋体"/>
                <w:bCs/>
                <w:kern w:val="0"/>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721" w:type="dxa"/>
            <w:vMerge w:val="restart"/>
            <w:tcBorders>
              <w:tl2br w:val="nil"/>
              <w:tr2bl w:val="nil"/>
            </w:tcBorders>
            <w:noWrap w:val="0"/>
            <w:vAlign w:val="center"/>
          </w:tcPr>
          <w:p>
            <w:pPr>
              <w:widowControl/>
              <w:spacing w:line="320" w:lineRule="exact"/>
              <w:jc w:val="center"/>
              <w:rPr>
                <w:rFonts w:hint="eastAsia" w:ascii="仿宋_GB2312" w:hAnsi="仿宋_GB2312" w:eastAsia="仿宋_GB2312" w:cs="仿宋_GB2312"/>
                <w:kern w:val="0"/>
                <w:sz w:val="24"/>
                <w:highlight w:val="none"/>
              </w:rPr>
            </w:pPr>
            <w:r>
              <w:rPr>
                <w:rFonts w:hint="eastAsia" w:ascii="仿宋_GB2312" w:hAnsi="仿宋_GB2312" w:eastAsia="仿宋_GB2312" w:cs="仿宋_GB2312"/>
                <w:kern w:val="0"/>
                <w:sz w:val="24"/>
                <w:highlight w:val="none"/>
              </w:rPr>
              <w:t>1</w:t>
            </w:r>
          </w:p>
        </w:tc>
        <w:tc>
          <w:tcPr>
            <w:tcW w:w="1202" w:type="dxa"/>
            <w:vMerge w:val="restart"/>
            <w:tcBorders>
              <w:tl2br w:val="nil"/>
              <w:tr2bl w:val="nil"/>
            </w:tcBorders>
            <w:noWrap w:val="0"/>
            <w:vAlign w:val="center"/>
          </w:tcPr>
          <w:p>
            <w:pPr>
              <w:widowControl/>
              <w:spacing w:line="320" w:lineRule="exact"/>
              <w:jc w:val="center"/>
              <w:rPr>
                <w:rFonts w:hint="eastAsia" w:ascii="仿宋_GB2312" w:hAnsi="仿宋_GB2312" w:eastAsia="仿宋_GB2312" w:cs="仿宋_GB2312"/>
                <w:kern w:val="0"/>
                <w:sz w:val="24"/>
                <w:highlight w:val="none"/>
              </w:rPr>
            </w:pPr>
            <w:r>
              <w:rPr>
                <w:rFonts w:hint="eastAsia" w:ascii="仿宋_GB2312" w:hAnsi="仿宋_GB2312" w:eastAsia="仿宋_GB2312" w:cs="仿宋_GB2312"/>
                <w:kern w:val="0"/>
                <w:sz w:val="24"/>
                <w:highlight w:val="none"/>
              </w:rPr>
              <w:t>供水</w:t>
            </w:r>
          </w:p>
        </w:tc>
        <w:tc>
          <w:tcPr>
            <w:tcW w:w="706" w:type="dxa"/>
            <w:vMerge w:val="restart"/>
            <w:tcBorders>
              <w:tl2br w:val="nil"/>
              <w:tr2bl w:val="nil"/>
            </w:tcBorders>
            <w:noWrap w:val="0"/>
            <w:vAlign w:val="center"/>
          </w:tcPr>
          <w:p>
            <w:pPr>
              <w:spacing w:line="320" w:lineRule="exact"/>
              <w:jc w:val="left"/>
              <w:rPr>
                <w:rFonts w:hint="eastAsia" w:ascii="仿宋_GB2312" w:hAnsi="仿宋_GB2312" w:eastAsia="仿宋_GB2312" w:cs="仿宋_GB2312"/>
                <w:kern w:val="0"/>
                <w:sz w:val="24"/>
                <w:highlight w:val="none"/>
              </w:rPr>
            </w:pPr>
            <w:r>
              <w:rPr>
                <w:rFonts w:hint="eastAsia" w:ascii="仿宋_GB2312" w:hAnsi="仿宋_GB2312" w:eastAsia="仿宋_GB2312" w:cs="仿宋_GB2312"/>
                <w:kern w:val="0"/>
                <w:sz w:val="24"/>
                <w:highlight w:val="none"/>
              </w:rPr>
              <w:t>水利工程供水</w:t>
            </w:r>
          </w:p>
        </w:tc>
        <w:tc>
          <w:tcPr>
            <w:tcW w:w="4889" w:type="dxa"/>
            <w:tcBorders>
              <w:tl2br w:val="nil"/>
              <w:tr2bl w:val="nil"/>
            </w:tcBorders>
            <w:noWrap w:val="0"/>
            <w:vAlign w:val="center"/>
          </w:tcPr>
          <w:p>
            <w:pPr>
              <w:widowControl/>
              <w:spacing w:line="320" w:lineRule="exact"/>
              <w:jc w:val="left"/>
              <w:rPr>
                <w:rFonts w:hint="eastAsia" w:ascii="仿宋_GB2312" w:hAnsi="仿宋_GB2312" w:eastAsia="仿宋_GB2312" w:cs="仿宋_GB2312"/>
                <w:kern w:val="0"/>
                <w:sz w:val="24"/>
                <w:highlight w:val="none"/>
              </w:rPr>
            </w:pPr>
            <w:r>
              <w:rPr>
                <w:rFonts w:hint="eastAsia" w:ascii="仿宋_GB2312" w:hAnsi="仿宋_GB2312" w:eastAsia="仿宋_GB2312" w:cs="仿宋_GB2312"/>
                <w:kern w:val="0"/>
                <w:sz w:val="24"/>
                <w:highlight w:val="none"/>
              </w:rPr>
              <w:t>市内跨区和市属水利工程的供水价格</w:t>
            </w:r>
          </w:p>
        </w:tc>
        <w:tc>
          <w:tcPr>
            <w:tcW w:w="2415" w:type="dxa"/>
            <w:tcBorders>
              <w:tl2br w:val="nil"/>
              <w:tr2bl w:val="nil"/>
            </w:tcBorders>
            <w:noWrap w:val="0"/>
            <w:vAlign w:val="center"/>
          </w:tcPr>
          <w:p>
            <w:pPr>
              <w:widowControl/>
              <w:spacing w:line="320" w:lineRule="exact"/>
              <w:jc w:val="center"/>
              <w:rPr>
                <w:rFonts w:hint="eastAsia" w:ascii="仿宋_GB2312" w:hAnsi="仿宋_GB2312" w:eastAsia="仿宋_GB2312" w:cs="仿宋_GB2312"/>
                <w:kern w:val="0"/>
                <w:sz w:val="24"/>
                <w:highlight w:val="none"/>
              </w:rPr>
            </w:pPr>
            <w:r>
              <w:rPr>
                <w:rFonts w:hint="eastAsia" w:ascii="仿宋_GB2312" w:hAnsi="仿宋_GB2312" w:eastAsia="仿宋_GB2312" w:cs="仿宋_GB2312"/>
                <w:kern w:val="0"/>
                <w:sz w:val="24"/>
                <w:highlight w:val="none"/>
              </w:rPr>
              <w:t>市价格主管部门</w:t>
            </w:r>
          </w:p>
        </w:tc>
        <w:tc>
          <w:tcPr>
            <w:tcW w:w="4366" w:type="dxa"/>
            <w:vMerge w:val="restart"/>
            <w:tcBorders>
              <w:tl2br w:val="nil"/>
              <w:tr2bl w:val="nil"/>
            </w:tcBorders>
            <w:noWrap w:val="0"/>
            <w:vAlign w:val="center"/>
          </w:tcPr>
          <w:p>
            <w:pPr>
              <w:widowControl/>
              <w:spacing w:line="320" w:lineRule="exact"/>
              <w:jc w:val="left"/>
              <w:rPr>
                <w:rFonts w:hint="eastAsia" w:ascii="仿宋_GB2312" w:hAnsi="仿宋_GB2312" w:eastAsia="仿宋_GB2312" w:cs="仿宋_GB2312"/>
                <w:kern w:val="0"/>
                <w:sz w:val="24"/>
                <w:highlight w:val="none"/>
              </w:rPr>
            </w:pPr>
            <w:r>
              <w:rPr>
                <w:rFonts w:hint="eastAsia" w:ascii="仿宋_GB2312" w:hAnsi="仿宋_GB2312" w:eastAsia="仿宋_GB2312" w:cs="仿宋_GB2312"/>
                <w:kern w:val="0"/>
                <w:sz w:val="24"/>
                <w:highlight w:val="none"/>
              </w:rPr>
              <w:t>水利工程由用户自建自用和通过协议明确由</w:t>
            </w:r>
            <w:r>
              <w:rPr>
                <w:rFonts w:hint="eastAsia" w:ascii="仿宋_GB2312" w:hAnsi="仿宋_GB2312" w:eastAsia="仿宋_GB2312" w:cs="仿宋_GB2312"/>
                <w:kern w:val="0"/>
                <w:sz w:val="24"/>
                <w:highlight w:val="none"/>
                <w:lang w:eastAsia="zh-CN"/>
              </w:rPr>
              <w:t>供需</w:t>
            </w:r>
            <w:r>
              <w:rPr>
                <w:rFonts w:hint="eastAsia" w:ascii="仿宋_GB2312" w:hAnsi="仿宋_GB2312" w:eastAsia="仿宋_GB2312" w:cs="仿宋_GB2312"/>
                <w:kern w:val="0"/>
                <w:sz w:val="24"/>
                <w:highlight w:val="none"/>
              </w:rPr>
              <w:t>双方协商定价的部分除外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721" w:type="dxa"/>
            <w:vMerge w:val="continue"/>
            <w:tcBorders>
              <w:tl2br w:val="nil"/>
              <w:tr2bl w:val="nil"/>
            </w:tcBorders>
            <w:noWrap w:val="0"/>
            <w:vAlign w:val="center"/>
          </w:tcPr>
          <w:p>
            <w:pPr>
              <w:widowControl/>
              <w:spacing w:line="320" w:lineRule="exact"/>
              <w:jc w:val="center"/>
              <w:rPr>
                <w:rFonts w:hint="eastAsia" w:ascii="仿宋_GB2312" w:hAnsi="仿宋_GB2312" w:eastAsia="仿宋_GB2312" w:cs="仿宋_GB2312"/>
                <w:kern w:val="0"/>
                <w:sz w:val="24"/>
                <w:highlight w:val="none"/>
              </w:rPr>
            </w:pPr>
          </w:p>
        </w:tc>
        <w:tc>
          <w:tcPr>
            <w:tcW w:w="1202" w:type="dxa"/>
            <w:vMerge w:val="continue"/>
            <w:tcBorders>
              <w:tl2br w:val="nil"/>
              <w:tr2bl w:val="nil"/>
            </w:tcBorders>
            <w:noWrap w:val="0"/>
            <w:vAlign w:val="center"/>
          </w:tcPr>
          <w:p>
            <w:pPr>
              <w:widowControl/>
              <w:spacing w:line="320" w:lineRule="exact"/>
              <w:jc w:val="center"/>
              <w:rPr>
                <w:rFonts w:hint="eastAsia" w:ascii="仿宋_GB2312" w:hAnsi="仿宋_GB2312" w:eastAsia="仿宋_GB2312" w:cs="仿宋_GB2312"/>
                <w:kern w:val="0"/>
                <w:sz w:val="24"/>
                <w:highlight w:val="none"/>
              </w:rPr>
            </w:pPr>
          </w:p>
        </w:tc>
        <w:tc>
          <w:tcPr>
            <w:tcW w:w="706" w:type="dxa"/>
            <w:vMerge w:val="continue"/>
            <w:tcBorders>
              <w:tl2br w:val="nil"/>
              <w:tr2bl w:val="nil"/>
            </w:tcBorders>
            <w:noWrap w:val="0"/>
            <w:vAlign w:val="center"/>
          </w:tcPr>
          <w:p>
            <w:pPr>
              <w:widowControl/>
              <w:spacing w:line="320" w:lineRule="exact"/>
              <w:jc w:val="left"/>
              <w:rPr>
                <w:rFonts w:hint="eastAsia" w:ascii="仿宋_GB2312" w:hAnsi="仿宋_GB2312" w:eastAsia="仿宋_GB2312" w:cs="仿宋_GB2312"/>
                <w:kern w:val="0"/>
                <w:sz w:val="24"/>
                <w:highlight w:val="none"/>
              </w:rPr>
            </w:pPr>
          </w:p>
        </w:tc>
        <w:tc>
          <w:tcPr>
            <w:tcW w:w="4889" w:type="dxa"/>
            <w:tcBorders>
              <w:tl2br w:val="nil"/>
              <w:tr2bl w:val="nil"/>
            </w:tcBorders>
            <w:noWrap w:val="0"/>
            <w:vAlign w:val="center"/>
          </w:tcPr>
          <w:p>
            <w:pPr>
              <w:widowControl/>
              <w:spacing w:line="320" w:lineRule="exact"/>
              <w:jc w:val="left"/>
              <w:rPr>
                <w:rFonts w:hint="eastAsia" w:ascii="仿宋_GB2312" w:hAnsi="仿宋_GB2312" w:eastAsia="仿宋_GB2312" w:cs="仿宋_GB2312"/>
                <w:kern w:val="0"/>
                <w:sz w:val="24"/>
                <w:highlight w:val="none"/>
              </w:rPr>
            </w:pPr>
            <w:r>
              <w:rPr>
                <w:rFonts w:hint="eastAsia" w:ascii="仿宋_GB2312" w:hAnsi="仿宋_GB2312" w:eastAsia="仿宋_GB2312" w:cs="仿宋_GB2312"/>
                <w:kern w:val="0"/>
                <w:sz w:val="24"/>
                <w:highlight w:val="none"/>
              </w:rPr>
              <w:t>区属水利工程的供水价格</w:t>
            </w:r>
          </w:p>
        </w:tc>
        <w:tc>
          <w:tcPr>
            <w:tcW w:w="2415" w:type="dxa"/>
            <w:tcBorders>
              <w:tl2br w:val="nil"/>
              <w:tr2bl w:val="nil"/>
            </w:tcBorders>
            <w:noWrap w:val="0"/>
            <w:vAlign w:val="center"/>
          </w:tcPr>
          <w:p>
            <w:pPr>
              <w:widowControl/>
              <w:spacing w:line="320" w:lineRule="exact"/>
              <w:jc w:val="center"/>
              <w:rPr>
                <w:rFonts w:hint="eastAsia" w:ascii="仿宋_GB2312" w:hAnsi="仿宋_GB2312" w:eastAsia="仿宋_GB2312" w:cs="仿宋_GB2312"/>
                <w:kern w:val="0"/>
                <w:sz w:val="24"/>
                <w:highlight w:val="none"/>
              </w:rPr>
            </w:pPr>
            <w:r>
              <w:rPr>
                <w:rFonts w:hint="eastAsia" w:ascii="仿宋_GB2312" w:hAnsi="仿宋_GB2312" w:eastAsia="仿宋_GB2312" w:cs="仿宋_GB2312"/>
                <w:kern w:val="0"/>
                <w:sz w:val="24"/>
                <w:highlight w:val="none"/>
              </w:rPr>
              <w:t>授权区人民政府</w:t>
            </w:r>
          </w:p>
        </w:tc>
        <w:tc>
          <w:tcPr>
            <w:tcW w:w="4366" w:type="dxa"/>
            <w:vMerge w:val="continue"/>
            <w:tcBorders>
              <w:tl2br w:val="nil"/>
              <w:tr2bl w:val="nil"/>
            </w:tcBorders>
            <w:noWrap w:val="0"/>
            <w:vAlign w:val="center"/>
          </w:tcPr>
          <w:p>
            <w:pPr>
              <w:widowControl/>
              <w:spacing w:line="320" w:lineRule="exact"/>
              <w:jc w:val="left"/>
              <w:rPr>
                <w:rFonts w:hint="eastAsia" w:ascii="仿宋_GB2312" w:hAnsi="仿宋_GB2312" w:eastAsia="仿宋_GB2312" w:cs="仿宋_GB2312"/>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1" w:type="dxa"/>
            <w:vMerge w:val="continue"/>
            <w:tcBorders>
              <w:tl2br w:val="nil"/>
              <w:tr2bl w:val="nil"/>
            </w:tcBorders>
            <w:noWrap w:val="0"/>
            <w:vAlign w:val="center"/>
          </w:tcPr>
          <w:p>
            <w:pPr>
              <w:widowControl/>
              <w:spacing w:line="320" w:lineRule="exact"/>
              <w:jc w:val="center"/>
              <w:rPr>
                <w:rFonts w:hint="eastAsia" w:ascii="仿宋_GB2312" w:hAnsi="仿宋_GB2312" w:eastAsia="仿宋_GB2312" w:cs="仿宋_GB2312"/>
                <w:kern w:val="0"/>
                <w:sz w:val="24"/>
                <w:highlight w:val="none"/>
              </w:rPr>
            </w:pPr>
          </w:p>
        </w:tc>
        <w:tc>
          <w:tcPr>
            <w:tcW w:w="1202" w:type="dxa"/>
            <w:vMerge w:val="continue"/>
            <w:tcBorders>
              <w:tl2br w:val="nil"/>
              <w:tr2bl w:val="nil"/>
            </w:tcBorders>
            <w:noWrap w:val="0"/>
            <w:vAlign w:val="center"/>
          </w:tcPr>
          <w:p>
            <w:pPr>
              <w:widowControl/>
              <w:spacing w:line="320" w:lineRule="exact"/>
              <w:jc w:val="center"/>
              <w:rPr>
                <w:rFonts w:hint="eastAsia" w:ascii="仿宋_GB2312" w:hAnsi="仿宋_GB2312" w:eastAsia="仿宋_GB2312" w:cs="仿宋_GB2312"/>
                <w:kern w:val="0"/>
                <w:sz w:val="24"/>
                <w:highlight w:val="none"/>
              </w:rPr>
            </w:pPr>
          </w:p>
        </w:tc>
        <w:tc>
          <w:tcPr>
            <w:tcW w:w="5595" w:type="dxa"/>
            <w:gridSpan w:val="2"/>
            <w:tcBorders>
              <w:tl2br w:val="nil"/>
              <w:tr2bl w:val="nil"/>
            </w:tcBorders>
            <w:noWrap w:val="0"/>
            <w:vAlign w:val="center"/>
          </w:tcPr>
          <w:p>
            <w:pPr>
              <w:spacing w:line="320" w:lineRule="exact"/>
              <w:jc w:val="left"/>
              <w:rPr>
                <w:rFonts w:hint="eastAsia" w:ascii="仿宋_GB2312" w:hAnsi="仿宋_GB2312" w:eastAsia="仿宋_GB2312" w:cs="仿宋_GB2312"/>
                <w:kern w:val="0"/>
                <w:sz w:val="24"/>
                <w:highlight w:val="none"/>
              </w:rPr>
            </w:pPr>
            <w:r>
              <w:rPr>
                <w:rFonts w:hint="eastAsia" w:ascii="仿宋_GB2312" w:hAnsi="仿宋_GB2312" w:eastAsia="仿宋_GB2312" w:cs="仿宋_GB2312"/>
                <w:kern w:val="0"/>
                <w:sz w:val="24"/>
                <w:highlight w:val="none"/>
              </w:rPr>
              <w:t>自来水销售价格</w:t>
            </w:r>
          </w:p>
        </w:tc>
        <w:tc>
          <w:tcPr>
            <w:tcW w:w="2415" w:type="dxa"/>
            <w:vMerge w:val="restart"/>
            <w:tcBorders>
              <w:tl2br w:val="nil"/>
              <w:tr2bl w:val="nil"/>
            </w:tcBorders>
            <w:noWrap w:val="0"/>
            <w:vAlign w:val="center"/>
          </w:tcPr>
          <w:p>
            <w:pPr>
              <w:widowControl/>
              <w:spacing w:line="320" w:lineRule="exact"/>
              <w:jc w:val="center"/>
              <w:rPr>
                <w:rFonts w:hint="eastAsia" w:ascii="仿宋_GB2312" w:hAnsi="仿宋_GB2312" w:eastAsia="仿宋_GB2312" w:cs="仿宋_GB2312"/>
                <w:kern w:val="0"/>
                <w:sz w:val="24"/>
                <w:highlight w:val="none"/>
              </w:rPr>
            </w:pPr>
            <w:r>
              <w:rPr>
                <w:rFonts w:hint="eastAsia" w:ascii="仿宋_GB2312" w:hAnsi="仿宋_GB2312" w:eastAsia="仿宋_GB2312" w:cs="仿宋_GB2312"/>
                <w:kern w:val="0"/>
                <w:sz w:val="24"/>
                <w:highlight w:val="none"/>
              </w:rPr>
              <w:t>市价格主管部门</w:t>
            </w:r>
          </w:p>
        </w:tc>
        <w:tc>
          <w:tcPr>
            <w:tcW w:w="4366" w:type="dxa"/>
            <w:tcBorders>
              <w:tl2br w:val="nil"/>
              <w:tr2bl w:val="nil"/>
            </w:tcBorders>
            <w:noWrap w:val="0"/>
            <w:vAlign w:val="center"/>
          </w:tcPr>
          <w:p>
            <w:pPr>
              <w:widowControl/>
              <w:spacing w:line="320" w:lineRule="exact"/>
              <w:jc w:val="left"/>
              <w:rPr>
                <w:rFonts w:hint="eastAsia" w:ascii="仿宋_GB2312" w:hAnsi="仿宋_GB2312" w:eastAsia="仿宋_GB2312" w:cs="仿宋_GB2312"/>
                <w:kern w:val="0"/>
                <w:sz w:val="24"/>
                <w:highlight w:val="none"/>
              </w:rPr>
            </w:pPr>
            <w:r>
              <w:rPr>
                <w:rFonts w:hint="eastAsia" w:ascii="仿宋_GB2312" w:hAnsi="仿宋_GB2312" w:eastAsia="仿宋_GB2312" w:cs="仿宋_GB2312"/>
                <w:kern w:val="0"/>
                <w:sz w:val="24"/>
                <w:highlight w:val="none"/>
              </w:rPr>
              <w:t>农村村民自建、自管的自来水价格除外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1" w:type="dxa"/>
            <w:tcBorders>
              <w:tl2br w:val="nil"/>
              <w:tr2bl w:val="nil"/>
            </w:tcBorders>
            <w:noWrap w:val="0"/>
            <w:vAlign w:val="center"/>
          </w:tcPr>
          <w:p>
            <w:pPr>
              <w:widowControl/>
              <w:spacing w:line="320" w:lineRule="exact"/>
              <w:jc w:val="center"/>
              <w:rPr>
                <w:rFonts w:hint="eastAsia" w:ascii="仿宋_GB2312" w:hAnsi="仿宋_GB2312" w:eastAsia="仿宋_GB2312" w:cs="仿宋_GB2312"/>
                <w:kern w:val="0"/>
                <w:sz w:val="24"/>
                <w:highlight w:val="none"/>
              </w:rPr>
            </w:pPr>
            <w:r>
              <w:rPr>
                <w:rFonts w:hint="eastAsia" w:ascii="仿宋_GB2312" w:hAnsi="仿宋_GB2312" w:eastAsia="仿宋_GB2312" w:cs="仿宋_GB2312"/>
                <w:kern w:val="0"/>
                <w:sz w:val="24"/>
                <w:highlight w:val="none"/>
              </w:rPr>
              <w:t>2</w:t>
            </w:r>
          </w:p>
        </w:tc>
        <w:tc>
          <w:tcPr>
            <w:tcW w:w="1202" w:type="dxa"/>
            <w:tcBorders>
              <w:tl2br w:val="nil"/>
              <w:tr2bl w:val="nil"/>
            </w:tcBorders>
            <w:noWrap w:val="0"/>
            <w:vAlign w:val="center"/>
          </w:tcPr>
          <w:p>
            <w:pPr>
              <w:widowControl/>
              <w:spacing w:line="320" w:lineRule="exact"/>
              <w:jc w:val="center"/>
              <w:rPr>
                <w:rFonts w:hint="eastAsia" w:ascii="仿宋_GB2312" w:hAnsi="仿宋_GB2312" w:eastAsia="仿宋_GB2312" w:cs="仿宋_GB2312"/>
                <w:kern w:val="0"/>
                <w:sz w:val="24"/>
                <w:highlight w:val="none"/>
              </w:rPr>
            </w:pPr>
            <w:r>
              <w:rPr>
                <w:rFonts w:hint="eastAsia" w:ascii="仿宋_GB2312" w:hAnsi="仿宋_GB2312" w:eastAsia="仿宋_GB2312" w:cs="仿宋_GB2312"/>
                <w:kern w:val="0"/>
                <w:sz w:val="24"/>
                <w:highlight w:val="none"/>
              </w:rPr>
              <w:t>输配电</w:t>
            </w:r>
          </w:p>
        </w:tc>
        <w:tc>
          <w:tcPr>
            <w:tcW w:w="5595" w:type="dxa"/>
            <w:gridSpan w:val="2"/>
            <w:tcBorders>
              <w:tl2br w:val="nil"/>
              <w:tr2bl w:val="nil"/>
            </w:tcBorders>
            <w:noWrap w:val="0"/>
            <w:vAlign w:val="center"/>
          </w:tcPr>
          <w:p>
            <w:pPr>
              <w:widowControl/>
              <w:spacing w:line="320" w:lineRule="exact"/>
              <w:jc w:val="left"/>
              <w:rPr>
                <w:rFonts w:hint="eastAsia" w:ascii="仿宋_GB2312" w:hAnsi="仿宋_GB2312" w:eastAsia="仿宋_GB2312" w:cs="仿宋_GB2312"/>
                <w:kern w:val="0"/>
                <w:sz w:val="24"/>
                <w:highlight w:val="none"/>
              </w:rPr>
            </w:pPr>
            <w:r>
              <w:rPr>
                <w:rFonts w:hint="eastAsia" w:ascii="仿宋_GB2312" w:hAnsi="仿宋_GB2312" w:eastAsia="仿宋_GB2312" w:cs="仿宋_GB2312"/>
                <w:kern w:val="0"/>
                <w:sz w:val="24"/>
                <w:highlight w:val="none"/>
              </w:rPr>
              <w:t>市级以下电网输配电价</w:t>
            </w:r>
          </w:p>
        </w:tc>
        <w:tc>
          <w:tcPr>
            <w:tcW w:w="2415" w:type="dxa"/>
            <w:tcBorders>
              <w:tl2br w:val="nil"/>
              <w:tr2bl w:val="nil"/>
            </w:tcBorders>
            <w:noWrap w:val="0"/>
            <w:vAlign w:val="center"/>
          </w:tcPr>
          <w:p>
            <w:pPr>
              <w:widowControl/>
              <w:spacing w:line="320" w:lineRule="exact"/>
              <w:jc w:val="center"/>
              <w:rPr>
                <w:rFonts w:hint="eastAsia" w:ascii="仿宋_GB2312" w:hAnsi="仿宋_GB2312" w:eastAsia="仿宋_GB2312" w:cs="仿宋_GB2312"/>
                <w:kern w:val="0"/>
                <w:sz w:val="24"/>
                <w:highlight w:val="none"/>
              </w:rPr>
            </w:pPr>
            <w:r>
              <w:rPr>
                <w:rFonts w:hint="eastAsia" w:ascii="仿宋_GB2312" w:hAnsi="仿宋_GB2312" w:eastAsia="仿宋_GB2312" w:cs="仿宋_GB2312"/>
                <w:kern w:val="0"/>
                <w:sz w:val="24"/>
                <w:highlight w:val="none"/>
              </w:rPr>
              <w:t>市价格主管部门</w:t>
            </w:r>
          </w:p>
        </w:tc>
        <w:tc>
          <w:tcPr>
            <w:tcW w:w="4366" w:type="dxa"/>
            <w:tcBorders>
              <w:tl2br w:val="nil"/>
              <w:tr2bl w:val="nil"/>
            </w:tcBorders>
            <w:noWrap w:val="0"/>
            <w:vAlign w:val="center"/>
          </w:tcPr>
          <w:p>
            <w:pPr>
              <w:widowControl/>
              <w:spacing w:line="320" w:lineRule="exact"/>
              <w:jc w:val="left"/>
              <w:rPr>
                <w:rFonts w:hint="eastAsia" w:ascii="仿宋_GB2312" w:hAnsi="仿宋_GB2312" w:eastAsia="仿宋_GB2312" w:cs="仿宋_GB2312"/>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1" w:type="dxa"/>
            <w:vMerge w:val="restart"/>
            <w:tcBorders>
              <w:tl2br w:val="nil"/>
              <w:tr2bl w:val="nil"/>
            </w:tcBorders>
            <w:noWrap w:val="0"/>
            <w:vAlign w:val="center"/>
          </w:tcPr>
          <w:p>
            <w:pPr>
              <w:widowControl/>
              <w:spacing w:line="320" w:lineRule="exact"/>
              <w:jc w:val="center"/>
              <w:rPr>
                <w:rFonts w:hint="eastAsia" w:ascii="仿宋_GB2312" w:hAnsi="仿宋_GB2312" w:eastAsia="仿宋_GB2312" w:cs="仿宋_GB2312"/>
                <w:kern w:val="0"/>
                <w:sz w:val="24"/>
                <w:highlight w:val="none"/>
              </w:rPr>
            </w:pPr>
            <w:r>
              <w:rPr>
                <w:rFonts w:hint="eastAsia" w:ascii="仿宋_GB2312" w:hAnsi="仿宋_GB2312" w:eastAsia="仿宋_GB2312" w:cs="仿宋_GB2312"/>
                <w:kern w:val="0"/>
                <w:sz w:val="24"/>
                <w:highlight w:val="none"/>
              </w:rPr>
              <w:t>3</w:t>
            </w:r>
          </w:p>
        </w:tc>
        <w:tc>
          <w:tcPr>
            <w:tcW w:w="1202" w:type="dxa"/>
            <w:vMerge w:val="restart"/>
            <w:tcBorders>
              <w:tl2br w:val="nil"/>
              <w:tr2bl w:val="nil"/>
            </w:tcBorders>
            <w:noWrap w:val="0"/>
            <w:vAlign w:val="center"/>
          </w:tcPr>
          <w:p>
            <w:pPr>
              <w:widowControl/>
              <w:spacing w:line="320" w:lineRule="exact"/>
              <w:jc w:val="center"/>
              <w:rPr>
                <w:rFonts w:hint="eastAsia" w:ascii="仿宋_GB2312" w:hAnsi="仿宋_GB2312" w:eastAsia="仿宋_GB2312" w:cs="仿宋_GB2312"/>
                <w:kern w:val="0"/>
                <w:sz w:val="24"/>
                <w:highlight w:val="none"/>
              </w:rPr>
            </w:pPr>
            <w:r>
              <w:rPr>
                <w:rFonts w:hint="eastAsia" w:ascii="仿宋_GB2312" w:hAnsi="仿宋_GB2312" w:eastAsia="仿宋_GB2312" w:cs="仿宋_GB2312"/>
                <w:kern w:val="0"/>
                <w:sz w:val="24"/>
                <w:highlight w:val="none"/>
                <w:lang w:eastAsia="zh-CN"/>
              </w:rPr>
              <w:t>油气管道运输和燃气</w:t>
            </w:r>
          </w:p>
        </w:tc>
        <w:tc>
          <w:tcPr>
            <w:tcW w:w="5595" w:type="dxa"/>
            <w:gridSpan w:val="2"/>
            <w:tcBorders>
              <w:tl2br w:val="nil"/>
              <w:tr2bl w:val="nil"/>
            </w:tcBorders>
            <w:noWrap w:val="0"/>
            <w:vAlign w:val="center"/>
          </w:tcPr>
          <w:p>
            <w:pPr>
              <w:widowControl/>
              <w:spacing w:line="320" w:lineRule="exact"/>
              <w:jc w:val="left"/>
              <w:rPr>
                <w:rFonts w:hint="eastAsia" w:ascii="仿宋_GB2312" w:hAnsi="仿宋_GB2312" w:eastAsia="仿宋_GB2312" w:cs="仿宋_GB2312"/>
                <w:kern w:val="0"/>
                <w:sz w:val="24"/>
                <w:highlight w:val="none"/>
              </w:rPr>
            </w:pPr>
            <w:r>
              <w:rPr>
                <w:rFonts w:hint="eastAsia" w:ascii="仿宋_GB2312" w:hAnsi="仿宋_GB2312" w:eastAsia="仿宋_GB2312" w:cs="仿宋_GB2312"/>
                <w:kern w:val="0"/>
                <w:sz w:val="24"/>
                <w:highlight w:val="none"/>
              </w:rPr>
              <w:t>本市管道天然气城市管网配气价格和销售价格</w:t>
            </w:r>
          </w:p>
        </w:tc>
        <w:tc>
          <w:tcPr>
            <w:tcW w:w="2415" w:type="dxa"/>
            <w:tcBorders>
              <w:tl2br w:val="nil"/>
              <w:tr2bl w:val="nil"/>
            </w:tcBorders>
            <w:noWrap w:val="0"/>
            <w:vAlign w:val="center"/>
          </w:tcPr>
          <w:p>
            <w:pPr>
              <w:widowControl/>
              <w:spacing w:line="320" w:lineRule="exact"/>
              <w:jc w:val="center"/>
              <w:rPr>
                <w:rFonts w:hint="eastAsia" w:ascii="仿宋_GB2312" w:hAnsi="仿宋_GB2312" w:eastAsia="仿宋_GB2312" w:cs="仿宋_GB2312"/>
                <w:kern w:val="0"/>
                <w:sz w:val="24"/>
                <w:highlight w:val="none"/>
              </w:rPr>
            </w:pPr>
            <w:r>
              <w:rPr>
                <w:rFonts w:hint="eastAsia" w:ascii="仿宋_GB2312" w:hAnsi="仿宋_GB2312" w:eastAsia="仿宋_GB2312" w:cs="仿宋_GB2312"/>
                <w:kern w:val="0"/>
                <w:sz w:val="24"/>
                <w:highlight w:val="none"/>
              </w:rPr>
              <w:t>市价格主管部门</w:t>
            </w:r>
          </w:p>
        </w:tc>
        <w:tc>
          <w:tcPr>
            <w:tcW w:w="4366" w:type="dxa"/>
            <w:tcBorders>
              <w:tl2br w:val="nil"/>
              <w:tr2bl w:val="nil"/>
            </w:tcBorders>
            <w:noWrap w:val="0"/>
            <w:vAlign w:val="center"/>
          </w:tcPr>
          <w:p>
            <w:pPr>
              <w:widowControl/>
              <w:spacing w:line="320" w:lineRule="exact"/>
              <w:jc w:val="left"/>
              <w:rPr>
                <w:rFonts w:hint="eastAsia" w:ascii="仿宋_GB2312" w:hAnsi="仿宋_GB2312" w:eastAsia="仿宋_GB2312" w:cs="仿宋_GB2312"/>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1" w:type="dxa"/>
            <w:vMerge w:val="continue"/>
            <w:tcBorders>
              <w:tl2br w:val="nil"/>
              <w:tr2bl w:val="nil"/>
            </w:tcBorders>
            <w:noWrap w:val="0"/>
            <w:vAlign w:val="center"/>
          </w:tcPr>
          <w:p>
            <w:pPr>
              <w:widowControl/>
              <w:spacing w:line="320" w:lineRule="exact"/>
              <w:jc w:val="center"/>
              <w:rPr>
                <w:rFonts w:hint="eastAsia" w:ascii="仿宋_GB2312" w:hAnsi="仿宋_GB2312" w:eastAsia="仿宋_GB2312" w:cs="仿宋_GB2312"/>
                <w:kern w:val="0"/>
                <w:sz w:val="24"/>
                <w:highlight w:val="none"/>
              </w:rPr>
            </w:pPr>
          </w:p>
        </w:tc>
        <w:tc>
          <w:tcPr>
            <w:tcW w:w="1202" w:type="dxa"/>
            <w:vMerge w:val="continue"/>
            <w:tcBorders>
              <w:tl2br w:val="nil"/>
              <w:tr2bl w:val="nil"/>
            </w:tcBorders>
            <w:noWrap w:val="0"/>
            <w:vAlign w:val="center"/>
          </w:tcPr>
          <w:p>
            <w:pPr>
              <w:widowControl/>
              <w:spacing w:line="320" w:lineRule="exact"/>
              <w:jc w:val="center"/>
              <w:rPr>
                <w:rFonts w:hint="eastAsia" w:ascii="仿宋_GB2312" w:hAnsi="仿宋_GB2312" w:eastAsia="仿宋_GB2312" w:cs="仿宋_GB2312"/>
                <w:kern w:val="0"/>
                <w:sz w:val="24"/>
                <w:highlight w:val="none"/>
              </w:rPr>
            </w:pPr>
          </w:p>
        </w:tc>
        <w:tc>
          <w:tcPr>
            <w:tcW w:w="5595" w:type="dxa"/>
            <w:gridSpan w:val="2"/>
            <w:tcBorders>
              <w:tl2br w:val="nil"/>
              <w:tr2bl w:val="nil"/>
            </w:tcBorders>
            <w:noWrap w:val="0"/>
            <w:vAlign w:val="center"/>
          </w:tcPr>
          <w:p>
            <w:pPr>
              <w:widowControl/>
              <w:spacing w:line="320" w:lineRule="exact"/>
              <w:jc w:val="left"/>
              <w:rPr>
                <w:rFonts w:hint="eastAsia" w:ascii="仿宋_GB2312" w:hAnsi="仿宋_GB2312" w:eastAsia="仿宋_GB2312" w:cs="仿宋_GB2312"/>
                <w:kern w:val="0"/>
                <w:sz w:val="24"/>
                <w:highlight w:val="none"/>
              </w:rPr>
            </w:pPr>
            <w:r>
              <w:rPr>
                <w:rFonts w:hint="eastAsia" w:ascii="仿宋_GB2312" w:hAnsi="仿宋_GB2312" w:eastAsia="仿宋_GB2312" w:cs="仿宋_GB2312"/>
                <w:kern w:val="0"/>
                <w:sz w:val="24"/>
                <w:highlight w:val="none"/>
              </w:rPr>
              <w:t>各区辖区内管道液化石油气、压缩天然气销售价格</w:t>
            </w:r>
          </w:p>
        </w:tc>
        <w:tc>
          <w:tcPr>
            <w:tcW w:w="2415" w:type="dxa"/>
            <w:tcBorders>
              <w:tl2br w:val="nil"/>
              <w:tr2bl w:val="nil"/>
            </w:tcBorders>
            <w:noWrap w:val="0"/>
            <w:vAlign w:val="center"/>
          </w:tcPr>
          <w:p>
            <w:pPr>
              <w:widowControl/>
              <w:spacing w:line="320" w:lineRule="exact"/>
              <w:jc w:val="center"/>
              <w:rPr>
                <w:rFonts w:hint="eastAsia" w:ascii="仿宋_GB2312" w:hAnsi="仿宋_GB2312" w:eastAsia="仿宋_GB2312" w:cs="仿宋_GB2312"/>
                <w:kern w:val="0"/>
                <w:sz w:val="24"/>
                <w:highlight w:val="none"/>
              </w:rPr>
            </w:pPr>
            <w:r>
              <w:rPr>
                <w:rFonts w:hint="eastAsia" w:ascii="仿宋_GB2312" w:hAnsi="仿宋_GB2312" w:eastAsia="仿宋_GB2312" w:cs="仿宋_GB2312"/>
                <w:kern w:val="0"/>
                <w:sz w:val="24"/>
                <w:highlight w:val="none"/>
              </w:rPr>
              <w:t>授权区人民政府</w:t>
            </w:r>
          </w:p>
        </w:tc>
        <w:tc>
          <w:tcPr>
            <w:tcW w:w="4366" w:type="dxa"/>
            <w:tcBorders>
              <w:tl2br w:val="nil"/>
              <w:tr2bl w:val="nil"/>
            </w:tcBorders>
            <w:noWrap w:val="0"/>
            <w:vAlign w:val="center"/>
          </w:tcPr>
          <w:p>
            <w:pPr>
              <w:widowControl/>
              <w:spacing w:line="320" w:lineRule="exact"/>
              <w:jc w:val="left"/>
              <w:rPr>
                <w:rFonts w:hint="eastAsia" w:ascii="仿宋_GB2312" w:hAnsi="仿宋_GB2312" w:eastAsia="仿宋_GB2312" w:cs="仿宋_GB2312"/>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1" w:type="dxa"/>
            <w:vMerge w:val="continue"/>
            <w:tcBorders>
              <w:tl2br w:val="nil"/>
              <w:tr2bl w:val="nil"/>
            </w:tcBorders>
            <w:noWrap w:val="0"/>
            <w:vAlign w:val="center"/>
          </w:tcPr>
          <w:p>
            <w:pPr>
              <w:widowControl/>
              <w:spacing w:line="320" w:lineRule="exact"/>
              <w:jc w:val="center"/>
              <w:rPr>
                <w:rFonts w:hint="eastAsia" w:ascii="仿宋_GB2312" w:hAnsi="仿宋_GB2312" w:eastAsia="仿宋_GB2312" w:cs="仿宋_GB2312"/>
                <w:kern w:val="0"/>
                <w:sz w:val="24"/>
                <w:highlight w:val="none"/>
              </w:rPr>
            </w:pPr>
          </w:p>
        </w:tc>
        <w:tc>
          <w:tcPr>
            <w:tcW w:w="1202" w:type="dxa"/>
            <w:vMerge w:val="continue"/>
            <w:tcBorders>
              <w:tl2br w:val="nil"/>
              <w:tr2bl w:val="nil"/>
            </w:tcBorders>
            <w:noWrap w:val="0"/>
            <w:vAlign w:val="center"/>
          </w:tcPr>
          <w:p>
            <w:pPr>
              <w:widowControl/>
              <w:spacing w:line="320" w:lineRule="exact"/>
              <w:jc w:val="center"/>
              <w:rPr>
                <w:rFonts w:hint="eastAsia" w:ascii="仿宋_GB2312" w:hAnsi="仿宋_GB2312" w:eastAsia="仿宋_GB2312" w:cs="仿宋_GB2312"/>
                <w:kern w:val="0"/>
                <w:sz w:val="24"/>
                <w:highlight w:val="none"/>
              </w:rPr>
            </w:pPr>
          </w:p>
        </w:tc>
        <w:tc>
          <w:tcPr>
            <w:tcW w:w="5595" w:type="dxa"/>
            <w:gridSpan w:val="2"/>
            <w:tcBorders>
              <w:tl2br w:val="nil"/>
              <w:tr2bl w:val="nil"/>
            </w:tcBorders>
            <w:noWrap w:val="0"/>
            <w:vAlign w:val="center"/>
          </w:tcPr>
          <w:p>
            <w:pPr>
              <w:widowControl/>
              <w:spacing w:line="320" w:lineRule="exact"/>
              <w:jc w:val="left"/>
              <w:rPr>
                <w:rFonts w:hint="eastAsia" w:ascii="仿宋_GB2312" w:hAnsi="仿宋_GB2312" w:eastAsia="仿宋_GB2312" w:cs="仿宋_GB2312"/>
                <w:kern w:val="0"/>
                <w:sz w:val="24"/>
                <w:highlight w:val="none"/>
              </w:rPr>
            </w:pPr>
            <w:r>
              <w:rPr>
                <w:rFonts w:hint="eastAsia" w:ascii="仿宋_GB2312" w:hAnsi="仿宋_GB2312" w:eastAsia="仿宋_GB2312" w:cs="仿宋_GB2312"/>
                <w:kern w:val="0"/>
                <w:sz w:val="24"/>
                <w:highlight w:val="none"/>
              </w:rPr>
              <w:t>市内管道运输价格</w:t>
            </w:r>
          </w:p>
        </w:tc>
        <w:tc>
          <w:tcPr>
            <w:tcW w:w="2415" w:type="dxa"/>
            <w:tcBorders>
              <w:tl2br w:val="nil"/>
              <w:tr2bl w:val="nil"/>
            </w:tcBorders>
            <w:noWrap w:val="0"/>
            <w:vAlign w:val="center"/>
          </w:tcPr>
          <w:p>
            <w:pPr>
              <w:widowControl/>
              <w:spacing w:line="320" w:lineRule="exact"/>
              <w:jc w:val="center"/>
              <w:rPr>
                <w:rFonts w:hint="eastAsia" w:ascii="仿宋_GB2312" w:hAnsi="仿宋_GB2312" w:eastAsia="仿宋_GB2312" w:cs="仿宋_GB2312"/>
                <w:kern w:val="0"/>
                <w:sz w:val="24"/>
                <w:highlight w:val="none"/>
                <w:lang w:eastAsia="zh-CN"/>
              </w:rPr>
            </w:pPr>
            <w:r>
              <w:rPr>
                <w:rFonts w:hint="eastAsia" w:ascii="仿宋_GB2312" w:hAnsi="仿宋_GB2312" w:eastAsia="仿宋_GB2312" w:cs="仿宋_GB2312"/>
                <w:kern w:val="0"/>
                <w:sz w:val="24"/>
                <w:highlight w:val="none"/>
                <w:lang w:eastAsia="zh-CN"/>
              </w:rPr>
              <w:t>市价格主管部门</w:t>
            </w:r>
          </w:p>
        </w:tc>
        <w:tc>
          <w:tcPr>
            <w:tcW w:w="4366" w:type="dxa"/>
            <w:tcBorders>
              <w:tl2br w:val="nil"/>
              <w:tr2bl w:val="nil"/>
            </w:tcBorders>
            <w:noWrap w:val="0"/>
            <w:vAlign w:val="center"/>
          </w:tcPr>
          <w:p>
            <w:pPr>
              <w:widowControl/>
              <w:spacing w:line="320" w:lineRule="exact"/>
              <w:jc w:val="left"/>
              <w:rPr>
                <w:rFonts w:hint="eastAsia" w:ascii="仿宋_GB2312" w:hAnsi="仿宋_GB2312" w:eastAsia="仿宋_GB2312" w:cs="仿宋_GB2312"/>
                <w:kern w:val="0"/>
                <w:sz w:val="24"/>
                <w:highlight w:val="none"/>
                <w:lang w:val="en-US" w:eastAsia="zh-CN"/>
              </w:rPr>
            </w:pPr>
            <w:r>
              <w:rPr>
                <w:rFonts w:hint="eastAsia" w:ascii="仿宋_GB2312" w:hAnsi="仿宋_GB2312" w:eastAsia="仿宋_GB2312" w:cs="仿宋_GB2312"/>
                <w:kern w:val="0"/>
                <w:sz w:val="24"/>
                <w:highlight w:val="none"/>
                <w:lang w:val="en-US" w:eastAsia="zh-CN"/>
              </w:rPr>
              <w:t>企业内部自用管道除外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1" w:type="dxa"/>
            <w:vMerge w:val="restart"/>
            <w:tcBorders>
              <w:tl2br w:val="nil"/>
              <w:tr2bl w:val="nil"/>
            </w:tcBorders>
            <w:noWrap w:val="0"/>
            <w:vAlign w:val="center"/>
          </w:tcPr>
          <w:p>
            <w:pPr>
              <w:widowControl/>
              <w:spacing w:line="320" w:lineRule="exact"/>
              <w:jc w:val="center"/>
              <w:rPr>
                <w:rFonts w:hint="eastAsia" w:ascii="仿宋_GB2312" w:hAnsi="仿宋_GB2312" w:eastAsia="仿宋_GB2312" w:cs="仿宋_GB2312"/>
                <w:kern w:val="0"/>
                <w:sz w:val="24"/>
                <w:highlight w:val="none"/>
              </w:rPr>
            </w:pPr>
            <w:r>
              <w:rPr>
                <w:rFonts w:hint="eastAsia" w:ascii="仿宋_GB2312" w:hAnsi="仿宋_GB2312" w:eastAsia="仿宋_GB2312" w:cs="仿宋_GB2312"/>
                <w:kern w:val="0"/>
                <w:sz w:val="24"/>
                <w:highlight w:val="none"/>
              </w:rPr>
              <w:t>4</w:t>
            </w:r>
          </w:p>
        </w:tc>
        <w:tc>
          <w:tcPr>
            <w:tcW w:w="1202" w:type="dxa"/>
            <w:vMerge w:val="restart"/>
            <w:tcBorders>
              <w:tl2br w:val="nil"/>
              <w:tr2bl w:val="nil"/>
            </w:tcBorders>
            <w:noWrap w:val="0"/>
            <w:vAlign w:val="center"/>
          </w:tcPr>
          <w:p>
            <w:pPr>
              <w:widowControl/>
              <w:spacing w:line="320" w:lineRule="exact"/>
              <w:jc w:val="center"/>
              <w:rPr>
                <w:rFonts w:hint="eastAsia" w:ascii="仿宋_GB2312" w:hAnsi="仿宋_GB2312" w:eastAsia="仿宋_GB2312" w:cs="仿宋_GB2312"/>
                <w:kern w:val="0"/>
                <w:sz w:val="24"/>
                <w:highlight w:val="none"/>
              </w:rPr>
            </w:pPr>
            <w:r>
              <w:rPr>
                <w:rFonts w:hint="eastAsia" w:ascii="仿宋_GB2312" w:hAnsi="仿宋_GB2312" w:eastAsia="仿宋_GB2312" w:cs="仿宋_GB2312"/>
                <w:kern w:val="0"/>
                <w:sz w:val="24"/>
                <w:highlight w:val="none"/>
              </w:rPr>
              <w:t>供热</w:t>
            </w:r>
          </w:p>
        </w:tc>
        <w:tc>
          <w:tcPr>
            <w:tcW w:w="5595" w:type="dxa"/>
            <w:gridSpan w:val="2"/>
            <w:tcBorders>
              <w:tl2br w:val="nil"/>
              <w:tr2bl w:val="nil"/>
            </w:tcBorders>
            <w:noWrap w:val="0"/>
            <w:vAlign w:val="center"/>
          </w:tcPr>
          <w:p>
            <w:pPr>
              <w:widowControl/>
              <w:spacing w:line="320" w:lineRule="exact"/>
              <w:jc w:val="left"/>
              <w:rPr>
                <w:rFonts w:hint="eastAsia" w:ascii="仿宋_GB2312" w:hAnsi="仿宋_GB2312" w:eastAsia="仿宋_GB2312" w:cs="仿宋_GB2312"/>
                <w:kern w:val="0"/>
                <w:sz w:val="24"/>
                <w:highlight w:val="none"/>
              </w:rPr>
            </w:pPr>
            <w:r>
              <w:rPr>
                <w:rFonts w:hint="eastAsia" w:ascii="仿宋_GB2312" w:hAnsi="仿宋_GB2312" w:eastAsia="仿宋_GB2312" w:cs="仿宋_GB2312"/>
                <w:kern w:val="0"/>
                <w:sz w:val="24"/>
                <w:highlight w:val="none"/>
              </w:rPr>
              <w:t>本市常规电厂热力出厂价格</w:t>
            </w:r>
          </w:p>
        </w:tc>
        <w:tc>
          <w:tcPr>
            <w:tcW w:w="2415" w:type="dxa"/>
            <w:vMerge w:val="restart"/>
            <w:tcBorders>
              <w:tl2br w:val="nil"/>
              <w:tr2bl w:val="nil"/>
            </w:tcBorders>
            <w:noWrap w:val="0"/>
            <w:vAlign w:val="center"/>
          </w:tcPr>
          <w:p>
            <w:pPr>
              <w:widowControl/>
              <w:spacing w:line="320" w:lineRule="exact"/>
              <w:jc w:val="center"/>
              <w:rPr>
                <w:rFonts w:hint="eastAsia" w:ascii="仿宋_GB2312" w:hAnsi="仿宋_GB2312" w:eastAsia="仿宋_GB2312" w:cs="仿宋_GB2312"/>
                <w:kern w:val="0"/>
                <w:sz w:val="24"/>
                <w:highlight w:val="none"/>
              </w:rPr>
            </w:pPr>
            <w:r>
              <w:rPr>
                <w:rFonts w:hint="eastAsia" w:ascii="仿宋_GB2312" w:hAnsi="仿宋_GB2312" w:eastAsia="仿宋_GB2312" w:cs="仿宋_GB2312"/>
                <w:kern w:val="0"/>
                <w:sz w:val="24"/>
                <w:highlight w:val="none"/>
              </w:rPr>
              <w:t>市价格主管部门</w:t>
            </w:r>
          </w:p>
        </w:tc>
        <w:tc>
          <w:tcPr>
            <w:tcW w:w="4366" w:type="dxa"/>
            <w:tcBorders>
              <w:tl2br w:val="nil"/>
              <w:tr2bl w:val="nil"/>
            </w:tcBorders>
            <w:noWrap w:val="0"/>
            <w:vAlign w:val="center"/>
          </w:tcPr>
          <w:p>
            <w:pPr>
              <w:widowControl/>
              <w:spacing w:line="320" w:lineRule="exact"/>
              <w:jc w:val="left"/>
              <w:rPr>
                <w:rFonts w:hint="eastAsia" w:ascii="仿宋_GB2312" w:hAnsi="仿宋_GB2312" w:eastAsia="仿宋_GB2312" w:cs="仿宋_GB2312"/>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21" w:type="dxa"/>
            <w:vMerge w:val="continue"/>
            <w:tcBorders>
              <w:tl2br w:val="nil"/>
              <w:tr2bl w:val="nil"/>
            </w:tcBorders>
            <w:noWrap w:val="0"/>
            <w:vAlign w:val="center"/>
          </w:tcPr>
          <w:p>
            <w:pPr>
              <w:widowControl/>
              <w:spacing w:line="320" w:lineRule="exact"/>
              <w:jc w:val="center"/>
              <w:rPr>
                <w:rFonts w:hint="eastAsia" w:ascii="仿宋_GB2312" w:hAnsi="仿宋_GB2312" w:eastAsia="仿宋_GB2312" w:cs="仿宋_GB2312"/>
                <w:kern w:val="0"/>
                <w:sz w:val="24"/>
                <w:highlight w:val="none"/>
              </w:rPr>
            </w:pPr>
          </w:p>
        </w:tc>
        <w:tc>
          <w:tcPr>
            <w:tcW w:w="1202" w:type="dxa"/>
            <w:vMerge w:val="continue"/>
            <w:tcBorders>
              <w:tl2br w:val="nil"/>
              <w:tr2bl w:val="nil"/>
            </w:tcBorders>
            <w:noWrap w:val="0"/>
            <w:vAlign w:val="center"/>
          </w:tcPr>
          <w:p>
            <w:pPr>
              <w:widowControl/>
              <w:spacing w:line="320" w:lineRule="exact"/>
              <w:jc w:val="center"/>
              <w:rPr>
                <w:rFonts w:hint="eastAsia" w:ascii="仿宋_GB2312" w:hAnsi="仿宋_GB2312" w:eastAsia="仿宋_GB2312" w:cs="仿宋_GB2312"/>
                <w:kern w:val="0"/>
                <w:sz w:val="24"/>
                <w:highlight w:val="none"/>
              </w:rPr>
            </w:pPr>
          </w:p>
        </w:tc>
        <w:tc>
          <w:tcPr>
            <w:tcW w:w="5595" w:type="dxa"/>
            <w:gridSpan w:val="2"/>
            <w:tcBorders>
              <w:tl2br w:val="nil"/>
              <w:tr2bl w:val="nil"/>
            </w:tcBorders>
            <w:noWrap w:val="0"/>
            <w:vAlign w:val="center"/>
          </w:tcPr>
          <w:p>
            <w:pPr>
              <w:widowControl/>
              <w:spacing w:line="320" w:lineRule="exact"/>
              <w:jc w:val="left"/>
              <w:rPr>
                <w:rFonts w:hint="eastAsia" w:ascii="仿宋_GB2312" w:hAnsi="仿宋_GB2312" w:eastAsia="仿宋_GB2312" w:cs="仿宋_GB2312"/>
                <w:kern w:val="0"/>
                <w:sz w:val="24"/>
                <w:highlight w:val="none"/>
              </w:rPr>
            </w:pPr>
            <w:r>
              <w:rPr>
                <w:rFonts w:hint="eastAsia" w:ascii="仿宋_GB2312" w:hAnsi="仿宋_GB2312" w:eastAsia="仿宋_GB2312" w:cs="仿宋_GB2312"/>
                <w:kern w:val="0"/>
                <w:sz w:val="24"/>
                <w:highlight w:val="none"/>
              </w:rPr>
              <w:t>城市集中供热管网和区域锅炉供热销售价格</w:t>
            </w:r>
          </w:p>
        </w:tc>
        <w:tc>
          <w:tcPr>
            <w:tcW w:w="2415" w:type="dxa"/>
            <w:vMerge w:val="continue"/>
            <w:tcBorders>
              <w:tl2br w:val="nil"/>
              <w:tr2bl w:val="nil"/>
            </w:tcBorders>
            <w:noWrap w:val="0"/>
            <w:vAlign w:val="center"/>
          </w:tcPr>
          <w:p>
            <w:pPr>
              <w:widowControl/>
              <w:spacing w:line="320" w:lineRule="exact"/>
              <w:jc w:val="center"/>
              <w:rPr>
                <w:rFonts w:hint="eastAsia" w:ascii="仿宋_GB2312" w:hAnsi="仿宋_GB2312" w:eastAsia="仿宋_GB2312" w:cs="仿宋_GB2312"/>
                <w:kern w:val="0"/>
                <w:sz w:val="24"/>
                <w:highlight w:val="none"/>
              </w:rPr>
            </w:pPr>
          </w:p>
        </w:tc>
        <w:tc>
          <w:tcPr>
            <w:tcW w:w="4366" w:type="dxa"/>
            <w:tcBorders>
              <w:tl2br w:val="nil"/>
              <w:tr2bl w:val="nil"/>
            </w:tcBorders>
            <w:noWrap w:val="0"/>
            <w:vAlign w:val="center"/>
          </w:tcPr>
          <w:p>
            <w:pPr>
              <w:widowControl/>
              <w:spacing w:line="320" w:lineRule="exact"/>
              <w:jc w:val="left"/>
              <w:rPr>
                <w:rFonts w:hint="eastAsia" w:ascii="仿宋_GB2312" w:hAnsi="仿宋_GB2312" w:eastAsia="仿宋_GB2312" w:cs="仿宋_GB2312"/>
                <w:kern w:val="0"/>
                <w:sz w:val="24"/>
                <w:highlight w:val="none"/>
              </w:rPr>
            </w:pPr>
            <w:r>
              <w:rPr>
                <w:rFonts w:hint="eastAsia" w:ascii="仿宋_GB2312" w:hAnsi="仿宋_GB2312" w:eastAsia="仿宋_GB2312" w:cs="仿宋_GB2312"/>
                <w:sz w:val="24"/>
                <w:highlight w:val="none"/>
              </w:rPr>
              <w:t>供方和非居民终端用户通过协议明确由双方协商定价的供热价格除外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jc w:val="center"/>
        </w:trPr>
        <w:tc>
          <w:tcPr>
            <w:tcW w:w="721" w:type="dxa"/>
            <w:vMerge w:val="continue"/>
            <w:tcBorders>
              <w:tl2br w:val="nil"/>
              <w:tr2bl w:val="nil"/>
            </w:tcBorders>
            <w:noWrap w:val="0"/>
            <w:vAlign w:val="center"/>
          </w:tcPr>
          <w:p>
            <w:pPr>
              <w:widowControl/>
              <w:spacing w:line="320" w:lineRule="exact"/>
              <w:jc w:val="center"/>
              <w:rPr>
                <w:rFonts w:ascii="宋体" w:hAnsi="宋体" w:cs="宋体"/>
                <w:kern w:val="0"/>
                <w:sz w:val="24"/>
                <w:highlight w:val="none"/>
              </w:rPr>
            </w:pPr>
          </w:p>
        </w:tc>
        <w:tc>
          <w:tcPr>
            <w:tcW w:w="1202" w:type="dxa"/>
            <w:vMerge w:val="continue"/>
            <w:tcBorders>
              <w:tl2br w:val="nil"/>
              <w:tr2bl w:val="nil"/>
            </w:tcBorders>
            <w:noWrap w:val="0"/>
            <w:vAlign w:val="center"/>
          </w:tcPr>
          <w:p>
            <w:pPr>
              <w:widowControl/>
              <w:spacing w:line="320" w:lineRule="exact"/>
              <w:jc w:val="center"/>
              <w:rPr>
                <w:rFonts w:hint="eastAsia" w:ascii="仿宋_GB2312" w:hAnsi="仿宋_GB2312" w:eastAsia="仿宋_GB2312" w:cs="仿宋_GB2312"/>
                <w:kern w:val="0"/>
                <w:sz w:val="24"/>
                <w:highlight w:val="none"/>
              </w:rPr>
            </w:pPr>
          </w:p>
        </w:tc>
        <w:tc>
          <w:tcPr>
            <w:tcW w:w="5595" w:type="dxa"/>
            <w:gridSpan w:val="2"/>
            <w:tcBorders>
              <w:tl2br w:val="nil"/>
              <w:tr2bl w:val="nil"/>
            </w:tcBorders>
            <w:noWrap w:val="0"/>
            <w:vAlign w:val="center"/>
          </w:tcPr>
          <w:p>
            <w:pPr>
              <w:widowControl/>
              <w:spacing w:line="320" w:lineRule="exact"/>
              <w:jc w:val="left"/>
              <w:rPr>
                <w:rFonts w:hint="eastAsia" w:ascii="仿宋_GB2312" w:hAnsi="仿宋_GB2312" w:eastAsia="仿宋_GB2312" w:cs="仿宋_GB2312"/>
                <w:kern w:val="0"/>
                <w:sz w:val="24"/>
                <w:highlight w:val="none"/>
              </w:rPr>
            </w:pPr>
            <w:r>
              <w:rPr>
                <w:rFonts w:hint="eastAsia" w:ascii="仿宋_GB2312" w:hAnsi="仿宋_GB2312" w:eastAsia="仿宋_GB2312" w:cs="仿宋_GB2312"/>
                <w:kern w:val="0"/>
                <w:sz w:val="24"/>
                <w:highlight w:val="none"/>
              </w:rPr>
              <w:t>各区辖区内通过地热、热泵等新供热方式生产的供热销售价格</w:t>
            </w:r>
          </w:p>
        </w:tc>
        <w:tc>
          <w:tcPr>
            <w:tcW w:w="2415" w:type="dxa"/>
            <w:tcBorders>
              <w:tl2br w:val="nil"/>
              <w:tr2bl w:val="nil"/>
            </w:tcBorders>
            <w:noWrap w:val="0"/>
            <w:vAlign w:val="center"/>
          </w:tcPr>
          <w:p>
            <w:pPr>
              <w:widowControl/>
              <w:spacing w:line="320" w:lineRule="exact"/>
              <w:jc w:val="center"/>
              <w:rPr>
                <w:rFonts w:hint="eastAsia" w:ascii="仿宋_GB2312" w:hAnsi="仿宋_GB2312" w:eastAsia="仿宋_GB2312" w:cs="仿宋_GB2312"/>
                <w:kern w:val="0"/>
                <w:sz w:val="24"/>
                <w:highlight w:val="none"/>
              </w:rPr>
            </w:pPr>
            <w:r>
              <w:rPr>
                <w:rFonts w:hint="eastAsia" w:ascii="仿宋_GB2312" w:hAnsi="仿宋_GB2312" w:eastAsia="仿宋_GB2312" w:cs="仿宋_GB2312"/>
                <w:kern w:val="0"/>
                <w:sz w:val="24"/>
                <w:highlight w:val="none"/>
              </w:rPr>
              <w:t>授权区人民政府</w:t>
            </w:r>
          </w:p>
        </w:tc>
        <w:tc>
          <w:tcPr>
            <w:tcW w:w="4366" w:type="dxa"/>
            <w:tcBorders>
              <w:tl2br w:val="nil"/>
              <w:tr2bl w:val="nil"/>
            </w:tcBorders>
            <w:noWrap w:val="0"/>
            <w:vAlign w:val="center"/>
          </w:tcPr>
          <w:p>
            <w:pPr>
              <w:widowControl/>
              <w:spacing w:line="320" w:lineRule="exact"/>
              <w:jc w:val="left"/>
              <w:rPr>
                <w:rFonts w:hint="eastAsia" w:ascii="仿宋_GB2312" w:hAnsi="仿宋_GB2312" w:eastAsia="仿宋_GB2312" w:cs="仿宋_GB2312"/>
                <w:kern w:val="0"/>
                <w:sz w:val="24"/>
                <w:highlight w:val="none"/>
              </w:rPr>
            </w:pPr>
            <w:r>
              <w:rPr>
                <w:rFonts w:hint="eastAsia" w:ascii="仿宋_GB2312" w:hAnsi="仿宋_GB2312" w:eastAsia="仿宋_GB2312" w:cs="仿宋_GB2312"/>
                <w:kern w:val="0"/>
                <w:sz w:val="24"/>
                <w:highlight w:val="none"/>
              </w:rPr>
              <w:t>供方和非居民终端用户通过协议明确由双方协商定价的供热价格除外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1" w:type="dxa"/>
            <w:vMerge w:val="restart"/>
            <w:tcBorders>
              <w:tl2br w:val="nil"/>
              <w:tr2bl w:val="nil"/>
            </w:tcBorders>
            <w:noWrap w:val="0"/>
            <w:vAlign w:val="center"/>
          </w:tcPr>
          <w:p>
            <w:pPr>
              <w:widowControl/>
              <w:spacing w:line="280" w:lineRule="exact"/>
              <w:jc w:val="center"/>
              <w:rPr>
                <w:rFonts w:ascii="宋体" w:hAnsi="宋体" w:cs="宋体"/>
                <w:kern w:val="0"/>
                <w:sz w:val="24"/>
                <w:highlight w:val="none"/>
              </w:rPr>
            </w:pPr>
            <w:r>
              <w:rPr>
                <w:rFonts w:hint="eastAsia" w:ascii="宋体" w:hAnsi="宋体" w:cs="宋体"/>
                <w:kern w:val="0"/>
                <w:sz w:val="24"/>
                <w:highlight w:val="none"/>
              </w:rPr>
              <w:t>5</w:t>
            </w:r>
          </w:p>
        </w:tc>
        <w:tc>
          <w:tcPr>
            <w:tcW w:w="1202" w:type="dxa"/>
            <w:vMerge w:val="restart"/>
            <w:tcBorders>
              <w:tl2br w:val="nil"/>
              <w:tr2bl w:val="nil"/>
            </w:tcBorders>
            <w:noWrap w:val="0"/>
            <w:vAlign w:val="center"/>
          </w:tcPr>
          <w:p>
            <w:pPr>
              <w:widowControl/>
              <w:spacing w:line="280" w:lineRule="exact"/>
              <w:jc w:val="center"/>
              <w:rPr>
                <w:rFonts w:hint="eastAsia" w:ascii="仿宋_GB2312" w:hAnsi="仿宋_GB2312" w:eastAsia="仿宋_GB2312" w:cs="仿宋_GB2312"/>
                <w:kern w:val="0"/>
                <w:sz w:val="24"/>
                <w:highlight w:val="none"/>
              </w:rPr>
            </w:pPr>
            <w:r>
              <w:rPr>
                <w:rFonts w:hint="eastAsia" w:ascii="仿宋_GB2312" w:hAnsi="仿宋_GB2312" w:eastAsia="仿宋_GB2312" w:cs="仿宋_GB2312"/>
                <w:kern w:val="0"/>
                <w:sz w:val="24"/>
                <w:highlight w:val="none"/>
              </w:rPr>
              <w:t>保障性</w:t>
            </w:r>
          </w:p>
          <w:p>
            <w:pPr>
              <w:widowControl/>
              <w:spacing w:line="280" w:lineRule="exact"/>
              <w:jc w:val="center"/>
              <w:rPr>
                <w:rFonts w:hint="eastAsia" w:ascii="仿宋_GB2312" w:hAnsi="仿宋_GB2312" w:eastAsia="仿宋_GB2312" w:cs="仿宋_GB2312"/>
                <w:kern w:val="0"/>
                <w:sz w:val="24"/>
                <w:highlight w:val="none"/>
              </w:rPr>
            </w:pPr>
            <w:r>
              <w:rPr>
                <w:rFonts w:hint="eastAsia" w:ascii="仿宋_GB2312" w:hAnsi="仿宋_GB2312" w:eastAsia="仿宋_GB2312" w:cs="仿宋_GB2312"/>
                <w:kern w:val="0"/>
                <w:sz w:val="24"/>
                <w:highlight w:val="none"/>
              </w:rPr>
              <w:t>住房</w:t>
            </w:r>
          </w:p>
        </w:tc>
        <w:tc>
          <w:tcPr>
            <w:tcW w:w="5595" w:type="dxa"/>
            <w:gridSpan w:val="2"/>
            <w:tcBorders>
              <w:tl2br w:val="nil"/>
              <w:tr2bl w:val="nil"/>
            </w:tcBorders>
            <w:noWrap w:val="0"/>
            <w:vAlign w:val="center"/>
          </w:tcPr>
          <w:p>
            <w:pPr>
              <w:widowControl/>
              <w:spacing w:line="280" w:lineRule="exact"/>
              <w:jc w:val="left"/>
              <w:rPr>
                <w:rFonts w:hint="eastAsia" w:ascii="仿宋_GB2312" w:hAnsi="仿宋_GB2312" w:eastAsia="仿宋_GB2312" w:cs="仿宋_GB2312"/>
                <w:kern w:val="0"/>
                <w:sz w:val="24"/>
                <w:highlight w:val="none"/>
              </w:rPr>
            </w:pPr>
            <w:r>
              <w:rPr>
                <w:rFonts w:hint="eastAsia" w:ascii="仿宋_GB2312" w:hAnsi="仿宋_GB2312" w:eastAsia="仿宋_GB2312" w:cs="仿宋_GB2312"/>
                <w:kern w:val="0"/>
                <w:sz w:val="24"/>
                <w:highlight w:val="none"/>
              </w:rPr>
              <w:t>公有住房租金标准</w:t>
            </w:r>
          </w:p>
        </w:tc>
        <w:tc>
          <w:tcPr>
            <w:tcW w:w="2415" w:type="dxa"/>
            <w:vMerge w:val="restart"/>
            <w:tcBorders>
              <w:tl2br w:val="nil"/>
              <w:tr2bl w:val="nil"/>
            </w:tcBorders>
            <w:noWrap w:val="0"/>
            <w:vAlign w:val="center"/>
          </w:tcPr>
          <w:p>
            <w:pPr>
              <w:widowControl/>
              <w:spacing w:line="280" w:lineRule="exact"/>
              <w:jc w:val="center"/>
              <w:rPr>
                <w:rFonts w:hint="eastAsia" w:ascii="仿宋_GB2312" w:hAnsi="仿宋_GB2312" w:eastAsia="仿宋_GB2312" w:cs="仿宋_GB2312"/>
                <w:kern w:val="0"/>
                <w:sz w:val="24"/>
                <w:highlight w:val="none"/>
              </w:rPr>
            </w:pPr>
            <w:r>
              <w:rPr>
                <w:rFonts w:hint="eastAsia" w:ascii="仿宋_GB2312" w:hAnsi="仿宋_GB2312" w:eastAsia="仿宋_GB2312" w:cs="仿宋_GB2312"/>
                <w:kern w:val="0"/>
                <w:sz w:val="24"/>
                <w:highlight w:val="none"/>
              </w:rPr>
              <w:t>市住房城乡建设主管部门会同市价格主管部门、市财政部门</w:t>
            </w:r>
          </w:p>
        </w:tc>
        <w:tc>
          <w:tcPr>
            <w:tcW w:w="4366" w:type="dxa"/>
            <w:vMerge w:val="restart"/>
            <w:tcBorders>
              <w:tl2br w:val="nil"/>
              <w:tr2bl w:val="nil"/>
            </w:tcBorders>
            <w:noWrap w:val="0"/>
            <w:vAlign w:val="center"/>
          </w:tcPr>
          <w:p>
            <w:pPr>
              <w:widowControl/>
              <w:spacing w:line="280" w:lineRule="exact"/>
              <w:jc w:val="left"/>
              <w:rPr>
                <w:rFonts w:hint="eastAsia" w:ascii="仿宋_GB2312" w:hAnsi="仿宋_GB2312" w:eastAsia="仿宋_GB2312" w:cs="仿宋_GB2312"/>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721" w:type="dxa"/>
            <w:vMerge w:val="continue"/>
            <w:tcBorders>
              <w:tl2br w:val="nil"/>
              <w:tr2bl w:val="nil"/>
            </w:tcBorders>
            <w:noWrap w:val="0"/>
            <w:vAlign w:val="center"/>
          </w:tcPr>
          <w:p>
            <w:pPr>
              <w:widowControl/>
              <w:spacing w:line="280" w:lineRule="exact"/>
              <w:jc w:val="center"/>
              <w:rPr>
                <w:rFonts w:ascii="宋体" w:hAnsi="宋体" w:cs="宋体"/>
                <w:kern w:val="0"/>
                <w:sz w:val="24"/>
                <w:highlight w:val="none"/>
              </w:rPr>
            </w:pPr>
          </w:p>
        </w:tc>
        <w:tc>
          <w:tcPr>
            <w:tcW w:w="1202" w:type="dxa"/>
            <w:vMerge w:val="continue"/>
            <w:tcBorders>
              <w:tl2br w:val="nil"/>
              <w:tr2bl w:val="nil"/>
            </w:tcBorders>
            <w:noWrap w:val="0"/>
            <w:vAlign w:val="center"/>
          </w:tcPr>
          <w:p>
            <w:pPr>
              <w:widowControl/>
              <w:spacing w:line="280" w:lineRule="exact"/>
              <w:jc w:val="center"/>
              <w:rPr>
                <w:rFonts w:hint="eastAsia" w:ascii="仿宋_GB2312" w:hAnsi="仿宋_GB2312" w:eastAsia="仿宋_GB2312" w:cs="仿宋_GB2312"/>
                <w:kern w:val="0"/>
                <w:sz w:val="24"/>
                <w:highlight w:val="none"/>
              </w:rPr>
            </w:pPr>
          </w:p>
        </w:tc>
        <w:tc>
          <w:tcPr>
            <w:tcW w:w="5595" w:type="dxa"/>
            <w:gridSpan w:val="2"/>
            <w:tcBorders>
              <w:tl2br w:val="nil"/>
              <w:tr2bl w:val="nil"/>
            </w:tcBorders>
            <w:noWrap w:val="0"/>
            <w:vAlign w:val="center"/>
          </w:tcPr>
          <w:p>
            <w:pPr>
              <w:widowControl/>
              <w:spacing w:line="280" w:lineRule="exact"/>
              <w:jc w:val="left"/>
              <w:rPr>
                <w:rFonts w:hint="eastAsia" w:ascii="仿宋_GB2312" w:hAnsi="仿宋_GB2312" w:eastAsia="仿宋_GB2312" w:cs="仿宋_GB2312"/>
                <w:kern w:val="0"/>
                <w:sz w:val="24"/>
                <w:highlight w:val="none"/>
              </w:rPr>
            </w:pPr>
            <w:r>
              <w:rPr>
                <w:rFonts w:hint="eastAsia" w:ascii="仿宋_GB2312" w:hAnsi="仿宋_GB2312" w:eastAsia="仿宋_GB2312" w:cs="仿宋_GB2312"/>
                <w:kern w:val="0"/>
                <w:sz w:val="24"/>
                <w:highlight w:val="none"/>
              </w:rPr>
              <w:t>按国家房改政策出售的公有住房销售成本价格</w:t>
            </w:r>
          </w:p>
        </w:tc>
        <w:tc>
          <w:tcPr>
            <w:tcW w:w="2415" w:type="dxa"/>
            <w:vMerge w:val="continue"/>
            <w:tcBorders>
              <w:tl2br w:val="nil"/>
              <w:tr2bl w:val="nil"/>
            </w:tcBorders>
            <w:noWrap w:val="0"/>
            <w:vAlign w:val="center"/>
          </w:tcPr>
          <w:p>
            <w:pPr>
              <w:widowControl/>
              <w:spacing w:line="280" w:lineRule="exact"/>
              <w:jc w:val="center"/>
              <w:rPr>
                <w:rFonts w:hint="eastAsia" w:ascii="仿宋_GB2312" w:hAnsi="仿宋_GB2312" w:eastAsia="仿宋_GB2312" w:cs="仿宋_GB2312"/>
                <w:kern w:val="0"/>
                <w:sz w:val="24"/>
                <w:highlight w:val="none"/>
                <w:lang w:eastAsia="zh-CN"/>
              </w:rPr>
            </w:pPr>
          </w:p>
        </w:tc>
        <w:tc>
          <w:tcPr>
            <w:tcW w:w="4366" w:type="dxa"/>
            <w:vMerge w:val="continue"/>
            <w:tcBorders>
              <w:tl2br w:val="nil"/>
              <w:tr2bl w:val="nil"/>
            </w:tcBorders>
            <w:noWrap w:val="0"/>
            <w:vAlign w:val="center"/>
          </w:tcPr>
          <w:p>
            <w:pPr>
              <w:widowControl/>
              <w:spacing w:line="280" w:lineRule="exact"/>
              <w:jc w:val="left"/>
              <w:rPr>
                <w:rFonts w:hint="eastAsia" w:ascii="仿宋_GB2312" w:hAnsi="仿宋_GB2312" w:eastAsia="仿宋_GB2312" w:cs="仿宋_GB2312"/>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jc w:val="center"/>
        </w:trPr>
        <w:tc>
          <w:tcPr>
            <w:tcW w:w="721" w:type="dxa"/>
            <w:vMerge w:val="continue"/>
            <w:tcBorders>
              <w:tl2br w:val="nil"/>
              <w:tr2bl w:val="nil"/>
            </w:tcBorders>
            <w:noWrap w:val="0"/>
            <w:vAlign w:val="center"/>
          </w:tcPr>
          <w:p>
            <w:pPr>
              <w:widowControl/>
              <w:spacing w:line="280" w:lineRule="exact"/>
              <w:jc w:val="center"/>
              <w:rPr>
                <w:rFonts w:ascii="宋体" w:hAnsi="宋体" w:cs="宋体"/>
                <w:kern w:val="0"/>
                <w:sz w:val="24"/>
                <w:highlight w:val="none"/>
              </w:rPr>
            </w:pPr>
          </w:p>
        </w:tc>
        <w:tc>
          <w:tcPr>
            <w:tcW w:w="1202" w:type="dxa"/>
            <w:vMerge w:val="continue"/>
            <w:tcBorders>
              <w:tl2br w:val="nil"/>
              <w:tr2bl w:val="nil"/>
            </w:tcBorders>
            <w:noWrap w:val="0"/>
            <w:vAlign w:val="center"/>
          </w:tcPr>
          <w:p>
            <w:pPr>
              <w:widowControl/>
              <w:spacing w:line="280" w:lineRule="exact"/>
              <w:jc w:val="center"/>
              <w:rPr>
                <w:rFonts w:hint="eastAsia" w:ascii="仿宋_GB2312" w:hAnsi="仿宋_GB2312" w:eastAsia="仿宋_GB2312" w:cs="仿宋_GB2312"/>
                <w:kern w:val="0"/>
                <w:sz w:val="24"/>
                <w:highlight w:val="none"/>
              </w:rPr>
            </w:pPr>
          </w:p>
        </w:tc>
        <w:tc>
          <w:tcPr>
            <w:tcW w:w="5595" w:type="dxa"/>
            <w:gridSpan w:val="2"/>
            <w:tcBorders>
              <w:tl2br w:val="nil"/>
              <w:tr2bl w:val="nil"/>
            </w:tcBorders>
            <w:noWrap w:val="0"/>
            <w:vAlign w:val="center"/>
          </w:tcPr>
          <w:p>
            <w:pPr>
              <w:widowControl/>
              <w:spacing w:line="280" w:lineRule="exact"/>
              <w:jc w:val="left"/>
              <w:rPr>
                <w:rFonts w:hint="eastAsia" w:ascii="仿宋_GB2312" w:hAnsi="仿宋_GB2312" w:eastAsia="仿宋_GB2312" w:cs="仿宋_GB2312"/>
                <w:kern w:val="0"/>
                <w:sz w:val="24"/>
                <w:highlight w:val="none"/>
              </w:rPr>
            </w:pPr>
            <w:r>
              <w:rPr>
                <w:rFonts w:hint="eastAsia" w:ascii="仿宋_GB2312" w:hAnsi="仿宋_GB2312" w:eastAsia="仿宋_GB2312" w:cs="仿宋_GB2312"/>
                <w:kern w:val="0"/>
                <w:sz w:val="24"/>
                <w:highlight w:val="none"/>
              </w:rPr>
              <w:t>保障性住房租金、销售价格</w:t>
            </w:r>
          </w:p>
        </w:tc>
        <w:tc>
          <w:tcPr>
            <w:tcW w:w="2415" w:type="dxa"/>
            <w:tcBorders>
              <w:tl2br w:val="nil"/>
              <w:tr2bl w:val="nil"/>
            </w:tcBorders>
            <w:noWrap w:val="0"/>
            <w:vAlign w:val="center"/>
          </w:tcPr>
          <w:p>
            <w:pPr>
              <w:widowControl/>
              <w:spacing w:line="280" w:lineRule="exact"/>
              <w:jc w:val="center"/>
              <w:rPr>
                <w:rFonts w:hint="eastAsia" w:ascii="仿宋_GB2312" w:hAnsi="仿宋_GB2312" w:eastAsia="仿宋_GB2312" w:cs="仿宋_GB2312"/>
                <w:kern w:val="0"/>
                <w:sz w:val="24"/>
                <w:highlight w:val="none"/>
              </w:rPr>
            </w:pPr>
            <w:r>
              <w:rPr>
                <w:rFonts w:hint="eastAsia" w:ascii="仿宋_GB2312" w:hAnsi="仿宋_GB2312" w:eastAsia="仿宋_GB2312" w:cs="仿宋_GB2312"/>
                <w:kern w:val="0"/>
                <w:sz w:val="24"/>
                <w:highlight w:val="none"/>
              </w:rPr>
              <w:t>市住房城乡建设主管部门</w:t>
            </w:r>
          </w:p>
        </w:tc>
        <w:tc>
          <w:tcPr>
            <w:tcW w:w="4366" w:type="dxa"/>
            <w:tcBorders>
              <w:tl2br w:val="nil"/>
              <w:tr2bl w:val="nil"/>
            </w:tcBorders>
            <w:noWrap w:val="0"/>
            <w:vAlign w:val="center"/>
          </w:tcPr>
          <w:p>
            <w:pPr>
              <w:widowControl/>
              <w:spacing w:line="280" w:lineRule="exact"/>
              <w:jc w:val="left"/>
              <w:rPr>
                <w:rFonts w:hint="eastAsia" w:ascii="仿宋_GB2312" w:hAnsi="仿宋_GB2312" w:eastAsia="仿宋_GB2312" w:cs="仿宋_GB2312"/>
                <w:kern w:val="0"/>
                <w:sz w:val="24"/>
                <w:highlight w:val="none"/>
              </w:rPr>
            </w:pPr>
            <w:r>
              <w:rPr>
                <w:rFonts w:hint="eastAsia" w:ascii="仿宋_GB2312" w:hAnsi="仿宋_GB2312" w:eastAsia="仿宋_GB2312" w:cs="仿宋_GB2312"/>
                <w:kern w:val="0"/>
                <w:sz w:val="24"/>
                <w:highlight w:val="none"/>
              </w:rPr>
              <w:t>保障性住房的租金标准或销售价格，由市住房城乡建设主管部门、相关区政府管理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721" w:type="dxa"/>
            <w:vMerge w:val="restart"/>
            <w:tcBorders>
              <w:tl2br w:val="nil"/>
              <w:tr2bl w:val="nil"/>
            </w:tcBorders>
            <w:noWrap w:val="0"/>
            <w:vAlign w:val="center"/>
          </w:tcPr>
          <w:p>
            <w:pPr>
              <w:widowControl/>
              <w:spacing w:line="280" w:lineRule="exact"/>
              <w:jc w:val="center"/>
              <w:rPr>
                <w:rFonts w:ascii="宋体" w:hAnsi="宋体" w:cs="宋体"/>
                <w:kern w:val="0"/>
                <w:sz w:val="24"/>
                <w:highlight w:val="none"/>
              </w:rPr>
            </w:pPr>
            <w:r>
              <w:rPr>
                <w:rFonts w:hint="eastAsia" w:ascii="宋体" w:hAnsi="宋体" w:cs="宋体"/>
                <w:kern w:val="0"/>
                <w:sz w:val="24"/>
                <w:highlight w:val="none"/>
              </w:rPr>
              <w:t>6</w:t>
            </w:r>
          </w:p>
        </w:tc>
        <w:tc>
          <w:tcPr>
            <w:tcW w:w="1202" w:type="dxa"/>
            <w:vMerge w:val="restart"/>
            <w:tcBorders>
              <w:tl2br w:val="nil"/>
              <w:tr2bl w:val="nil"/>
            </w:tcBorders>
            <w:noWrap w:val="0"/>
            <w:vAlign w:val="center"/>
          </w:tcPr>
          <w:p>
            <w:pPr>
              <w:widowControl/>
              <w:spacing w:line="280" w:lineRule="exact"/>
              <w:jc w:val="center"/>
              <w:rPr>
                <w:rFonts w:hint="eastAsia" w:ascii="仿宋_GB2312" w:hAnsi="仿宋_GB2312" w:eastAsia="仿宋_GB2312" w:cs="仿宋_GB2312"/>
                <w:kern w:val="0"/>
                <w:sz w:val="24"/>
                <w:highlight w:val="none"/>
              </w:rPr>
            </w:pPr>
            <w:r>
              <w:rPr>
                <w:rFonts w:hint="eastAsia" w:ascii="仿宋_GB2312" w:hAnsi="仿宋_GB2312" w:eastAsia="仿宋_GB2312" w:cs="仿宋_GB2312"/>
                <w:kern w:val="0"/>
                <w:sz w:val="24"/>
                <w:highlight w:val="none"/>
              </w:rPr>
              <w:t>交通</w:t>
            </w:r>
            <w:r>
              <w:rPr>
                <w:rFonts w:hint="eastAsia" w:ascii="仿宋_GB2312" w:hAnsi="仿宋_GB2312" w:eastAsia="仿宋_GB2312" w:cs="仿宋_GB2312"/>
                <w:kern w:val="0"/>
                <w:sz w:val="24"/>
                <w:highlight w:val="none"/>
              </w:rPr>
              <w:br w:type="textWrapping"/>
            </w:r>
            <w:r>
              <w:rPr>
                <w:rFonts w:hint="eastAsia" w:ascii="仿宋_GB2312" w:hAnsi="仿宋_GB2312" w:eastAsia="仿宋_GB2312" w:cs="仿宋_GB2312"/>
                <w:kern w:val="0"/>
                <w:sz w:val="24"/>
                <w:highlight w:val="none"/>
              </w:rPr>
              <w:t>运输</w:t>
            </w:r>
          </w:p>
        </w:tc>
        <w:tc>
          <w:tcPr>
            <w:tcW w:w="706" w:type="dxa"/>
            <w:vMerge w:val="restart"/>
            <w:tcBorders>
              <w:tl2br w:val="nil"/>
              <w:tr2bl w:val="nil"/>
            </w:tcBorders>
            <w:noWrap w:val="0"/>
            <w:vAlign w:val="center"/>
          </w:tcPr>
          <w:p>
            <w:pPr>
              <w:widowControl/>
              <w:spacing w:line="280" w:lineRule="exact"/>
              <w:jc w:val="left"/>
              <w:rPr>
                <w:rFonts w:hint="eastAsia" w:ascii="仿宋_GB2312" w:hAnsi="仿宋_GB2312" w:eastAsia="仿宋_GB2312" w:cs="仿宋_GB2312"/>
                <w:kern w:val="0"/>
                <w:sz w:val="24"/>
                <w:highlight w:val="none"/>
              </w:rPr>
            </w:pPr>
            <w:r>
              <w:rPr>
                <w:rFonts w:hint="eastAsia" w:ascii="仿宋_GB2312" w:hAnsi="仿宋_GB2312" w:eastAsia="仿宋_GB2312" w:cs="仿宋_GB2312"/>
                <w:kern w:val="0"/>
                <w:sz w:val="24"/>
                <w:highlight w:val="none"/>
              </w:rPr>
              <w:t>车辆</w:t>
            </w:r>
          </w:p>
          <w:p>
            <w:pPr>
              <w:widowControl/>
              <w:spacing w:line="280" w:lineRule="exact"/>
              <w:jc w:val="left"/>
              <w:rPr>
                <w:rFonts w:hint="eastAsia" w:ascii="仿宋_GB2312" w:hAnsi="仿宋_GB2312" w:eastAsia="仿宋_GB2312" w:cs="仿宋_GB2312"/>
                <w:kern w:val="0"/>
                <w:sz w:val="24"/>
                <w:highlight w:val="none"/>
              </w:rPr>
            </w:pPr>
            <w:r>
              <w:rPr>
                <w:rFonts w:hint="eastAsia" w:ascii="仿宋_GB2312" w:hAnsi="仿宋_GB2312" w:eastAsia="仿宋_GB2312" w:cs="仿宋_GB2312"/>
                <w:kern w:val="0"/>
                <w:sz w:val="24"/>
                <w:highlight w:val="none"/>
              </w:rPr>
              <w:t>通行</w:t>
            </w:r>
          </w:p>
        </w:tc>
        <w:tc>
          <w:tcPr>
            <w:tcW w:w="4889" w:type="dxa"/>
            <w:tcBorders>
              <w:tl2br w:val="nil"/>
              <w:tr2bl w:val="nil"/>
            </w:tcBorders>
            <w:noWrap w:val="0"/>
            <w:vAlign w:val="center"/>
          </w:tcPr>
          <w:p>
            <w:pPr>
              <w:widowControl/>
              <w:spacing w:line="280" w:lineRule="exact"/>
              <w:jc w:val="left"/>
              <w:rPr>
                <w:rFonts w:hint="eastAsia" w:ascii="仿宋_GB2312" w:hAnsi="仿宋_GB2312" w:eastAsia="仿宋_GB2312" w:cs="仿宋_GB2312"/>
                <w:kern w:val="0"/>
                <w:sz w:val="24"/>
                <w:highlight w:val="none"/>
              </w:rPr>
            </w:pPr>
            <w:r>
              <w:rPr>
                <w:rFonts w:hint="eastAsia" w:ascii="仿宋_GB2312" w:hAnsi="仿宋_GB2312" w:eastAsia="仿宋_GB2312" w:cs="仿宋_GB2312"/>
                <w:kern w:val="0"/>
                <w:sz w:val="24"/>
                <w:highlight w:val="none"/>
              </w:rPr>
              <w:t>本市行政区域内政府还贷公路车辆通行费</w:t>
            </w:r>
          </w:p>
        </w:tc>
        <w:tc>
          <w:tcPr>
            <w:tcW w:w="2415" w:type="dxa"/>
            <w:tcBorders>
              <w:tl2br w:val="nil"/>
              <w:tr2bl w:val="nil"/>
            </w:tcBorders>
            <w:noWrap w:val="0"/>
            <w:vAlign w:val="center"/>
          </w:tcPr>
          <w:p>
            <w:pPr>
              <w:widowControl/>
              <w:spacing w:line="280" w:lineRule="exact"/>
              <w:jc w:val="center"/>
              <w:rPr>
                <w:rFonts w:hint="eastAsia" w:ascii="仿宋_GB2312" w:hAnsi="仿宋_GB2312" w:eastAsia="仿宋_GB2312" w:cs="仿宋_GB2312"/>
                <w:kern w:val="0"/>
                <w:sz w:val="24"/>
                <w:highlight w:val="none"/>
              </w:rPr>
            </w:pPr>
            <w:r>
              <w:rPr>
                <w:rFonts w:hint="eastAsia" w:ascii="仿宋_GB2312" w:hAnsi="仿宋_GB2312" w:eastAsia="仿宋_GB2312" w:cs="仿宋_GB2312"/>
                <w:kern w:val="0"/>
                <w:sz w:val="24"/>
                <w:highlight w:val="none"/>
              </w:rPr>
              <w:t>市交通主管部门会同市价格主管部门、市财政部门</w:t>
            </w:r>
          </w:p>
        </w:tc>
        <w:tc>
          <w:tcPr>
            <w:tcW w:w="4366" w:type="dxa"/>
            <w:tcBorders>
              <w:tl2br w:val="nil"/>
              <w:tr2bl w:val="nil"/>
            </w:tcBorders>
            <w:noWrap w:val="0"/>
            <w:vAlign w:val="center"/>
          </w:tcPr>
          <w:p>
            <w:pPr>
              <w:widowControl/>
              <w:spacing w:line="280" w:lineRule="exact"/>
              <w:jc w:val="left"/>
              <w:rPr>
                <w:rFonts w:hint="eastAsia" w:ascii="仿宋_GB2312" w:hAnsi="仿宋_GB2312" w:eastAsia="仿宋_GB2312" w:cs="仿宋_GB2312"/>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721" w:type="dxa"/>
            <w:vMerge w:val="continue"/>
            <w:tcBorders>
              <w:tl2br w:val="nil"/>
              <w:tr2bl w:val="nil"/>
            </w:tcBorders>
            <w:noWrap w:val="0"/>
            <w:vAlign w:val="center"/>
          </w:tcPr>
          <w:p>
            <w:pPr>
              <w:widowControl/>
              <w:spacing w:line="280" w:lineRule="exact"/>
              <w:jc w:val="center"/>
              <w:rPr>
                <w:rFonts w:ascii="宋体" w:hAnsi="宋体" w:cs="宋体"/>
                <w:kern w:val="0"/>
                <w:sz w:val="24"/>
                <w:highlight w:val="none"/>
              </w:rPr>
            </w:pPr>
          </w:p>
        </w:tc>
        <w:tc>
          <w:tcPr>
            <w:tcW w:w="1202" w:type="dxa"/>
            <w:vMerge w:val="continue"/>
            <w:tcBorders>
              <w:tl2br w:val="nil"/>
              <w:tr2bl w:val="nil"/>
            </w:tcBorders>
            <w:noWrap w:val="0"/>
            <w:vAlign w:val="center"/>
          </w:tcPr>
          <w:p>
            <w:pPr>
              <w:widowControl/>
              <w:spacing w:line="280" w:lineRule="exact"/>
              <w:jc w:val="center"/>
              <w:rPr>
                <w:rFonts w:ascii="宋体" w:hAnsi="宋体" w:cs="宋体"/>
                <w:kern w:val="0"/>
                <w:sz w:val="24"/>
                <w:highlight w:val="none"/>
              </w:rPr>
            </w:pPr>
          </w:p>
        </w:tc>
        <w:tc>
          <w:tcPr>
            <w:tcW w:w="706" w:type="dxa"/>
            <w:vMerge w:val="continue"/>
            <w:tcBorders>
              <w:tl2br w:val="nil"/>
              <w:tr2bl w:val="nil"/>
            </w:tcBorders>
            <w:noWrap w:val="0"/>
            <w:vAlign w:val="center"/>
          </w:tcPr>
          <w:p>
            <w:pPr>
              <w:widowControl/>
              <w:spacing w:line="280" w:lineRule="exact"/>
              <w:jc w:val="left"/>
              <w:rPr>
                <w:rFonts w:ascii="宋体" w:hAnsi="宋体" w:cs="宋体"/>
                <w:kern w:val="0"/>
                <w:sz w:val="24"/>
                <w:highlight w:val="none"/>
              </w:rPr>
            </w:pPr>
          </w:p>
        </w:tc>
        <w:tc>
          <w:tcPr>
            <w:tcW w:w="4889" w:type="dxa"/>
            <w:tcBorders>
              <w:tl2br w:val="nil"/>
              <w:tr2bl w:val="nil"/>
            </w:tcBorders>
            <w:noWrap w:val="0"/>
            <w:vAlign w:val="center"/>
          </w:tcPr>
          <w:p>
            <w:pPr>
              <w:widowControl/>
              <w:spacing w:line="280" w:lineRule="exact"/>
              <w:jc w:val="left"/>
              <w:rPr>
                <w:rFonts w:hint="eastAsia" w:ascii="仿宋_GB2312" w:hAnsi="仿宋_GB2312" w:eastAsia="仿宋_GB2312" w:cs="仿宋_GB2312"/>
                <w:kern w:val="0"/>
                <w:sz w:val="24"/>
                <w:highlight w:val="none"/>
              </w:rPr>
            </w:pPr>
            <w:r>
              <w:rPr>
                <w:rFonts w:hint="eastAsia" w:ascii="仿宋_GB2312" w:hAnsi="仿宋_GB2312" w:eastAsia="仿宋_GB2312" w:cs="仿宋_GB2312"/>
                <w:kern w:val="0"/>
                <w:sz w:val="24"/>
                <w:highlight w:val="none"/>
              </w:rPr>
              <w:t>本市行政区域内经营性公路车辆通行费</w:t>
            </w:r>
          </w:p>
        </w:tc>
        <w:tc>
          <w:tcPr>
            <w:tcW w:w="2415" w:type="dxa"/>
            <w:tcBorders>
              <w:tl2br w:val="nil"/>
              <w:tr2bl w:val="nil"/>
            </w:tcBorders>
            <w:noWrap w:val="0"/>
            <w:vAlign w:val="center"/>
          </w:tcPr>
          <w:p>
            <w:pPr>
              <w:widowControl/>
              <w:spacing w:line="280" w:lineRule="exact"/>
              <w:jc w:val="center"/>
              <w:rPr>
                <w:rFonts w:hint="eastAsia" w:ascii="仿宋_GB2312" w:hAnsi="仿宋_GB2312" w:eastAsia="仿宋_GB2312" w:cs="仿宋_GB2312"/>
                <w:kern w:val="0"/>
                <w:sz w:val="24"/>
                <w:highlight w:val="none"/>
              </w:rPr>
            </w:pPr>
            <w:r>
              <w:rPr>
                <w:rFonts w:hint="eastAsia" w:ascii="仿宋_GB2312" w:hAnsi="仿宋_GB2312" w:eastAsia="仿宋_GB2312" w:cs="仿宋_GB2312"/>
                <w:kern w:val="0"/>
                <w:sz w:val="24"/>
                <w:highlight w:val="none"/>
              </w:rPr>
              <w:t>市交通主管部门会同市价格主管部门</w:t>
            </w:r>
          </w:p>
        </w:tc>
        <w:tc>
          <w:tcPr>
            <w:tcW w:w="4366" w:type="dxa"/>
            <w:tcBorders>
              <w:tl2br w:val="nil"/>
              <w:tr2bl w:val="nil"/>
            </w:tcBorders>
            <w:noWrap w:val="0"/>
            <w:vAlign w:val="center"/>
          </w:tcPr>
          <w:p>
            <w:pPr>
              <w:widowControl/>
              <w:spacing w:line="280" w:lineRule="exact"/>
              <w:jc w:val="left"/>
              <w:rPr>
                <w:rFonts w:hint="eastAsia" w:ascii="仿宋_GB2312" w:hAnsi="仿宋_GB2312" w:eastAsia="仿宋_GB2312" w:cs="仿宋_GB2312"/>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1" w:type="dxa"/>
            <w:vMerge w:val="continue"/>
            <w:tcBorders>
              <w:tl2br w:val="nil"/>
              <w:tr2bl w:val="nil"/>
            </w:tcBorders>
            <w:noWrap w:val="0"/>
            <w:vAlign w:val="center"/>
          </w:tcPr>
          <w:p>
            <w:pPr>
              <w:widowControl/>
              <w:spacing w:line="280" w:lineRule="exact"/>
              <w:jc w:val="center"/>
              <w:rPr>
                <w:rFonts w:ascii="宋体" w:hAnsi="宋体" w:cs="宋体"/>
                <w:kern w:val="0"/>
                <w:sz w:val="24"/>
                <w:highlight w:val="none"/>
              </w:rPr>
            </w:pPr>
          </w:p>
        </w:tc>
        <w:tc>
          <w:tcPr>
            <w:tcW w:w="1202" w:type="dxa"/>
            <w:vMerge w:val="continue"/>
            <w:tcBorders>
              <w:tl2br w:val="nil"/>
              <w:tr2bl w:val="nil"/>
            </w:tcBorders>
            <w:noWrap w:val="0"/>
            <w:vAlign w:val="center"/>
          </w:tcPr>
          <w:p>
            <w:pPr>
              <w:widowControl/>
              <w:spacing w:line="280" w:lineRule="exact"/>
              <w:jc w:val="center"/>
              <w:rPr>
                <w:rFonts w:ascii="宋体" w:hAnsi="宋体" w:cs="宋体"/>
                <w:kern w:val="0"/>
                <w:sz w:val="24"/>
                <w:highlight w:val="none"/>
              </w:rPr>
            </w:pPr>
          </w:p>
        </w:tc>
        <w:tc>
          <w:tcPr>
            <w:tcW w:w="706" w:type="dxa"/>
            <w:vMerge w:val="restart"/>
            <w:tcBorders>
              <w:tl2br w:val="nil"/>
              <w:tr2bl w:val="nil"/>
            </w:tcBorders>
            <w:noWrap w:val="0"/>
            <w:vAlign w:val="center"/>
          </w:tcPr>
          <w:p>
            <w:pPr>
              <w:widowControl/>
              <w:spacing w:line="280" w:lineRule="exact"/>
              <w:jc w:val="left"/>
              <w:rPr>
                <w:rFonts w:hint="eastAsia" w:ascii="仿宋_GB2312" w:hAnsi="仿宋_GB2312" w:eastAsia="仿宋_GB2312" w:cs="仿宋_GB2312"/>
                <w:kern w:val="0"/>
                <w:sz w:val="24"/>
                <w:highlight w:val="none"/>
              </w:rPr>
            </w:pPr>
            <w:r>
              <w:rPr>
                <w:rFonts w:hint="eastAsia" w:ascii="仿宋_GB2312" w:hAnsi="仿宋_GB2312" w:eastAsia="仿宋_GB2312" w:cs="仿宋_GB2312"/>
                <w:kern w:val="0"/>
                <w:sz w:val="24"/>
                <w:highlight w:val="none"/>
              </w:rPr>
              <w:t>城市</w:t>
            </w:r>
          </w:p>
          <w:p>
            <w:pPr>
              <w:widowControl/>
              <w:spacing w:line="280" w:lineRule="exact"/>
              <w:jc w:val="left"/>
              <w:rPr>
                <w:rFonts w:ascii="宋体" w:hAnsi="宋体" w:cs="宋体"/>
                <w:kern w:val="0"/>
                <w:sz w:val="24"/>
                <w:highlight w:val="none"/>
              </w:rPr>
            </w:pPr>
            <w:r>
              <w:rPr>
                <w:rFonts w:hint="eastAsia" w:ascii="仿宋_GB2312" w:hAnsi="仿宋_GB2312" w:eastAsia="仿宋_GB2312" w:cs="仿宋_GB2312"/>
                <w:kern w:val="0"/>
                <w:sz w:val="24"/>
                <w:highlight w:val="none"/>
              </w:rPr>
              <w:t>客运</w:t>
            </w:r>
          </w:p>
        </w:tc>
        <w:tc>
          <w:tcPr>
            <w:tcW w:w="4889" w:type="dxa"/>
            <w:tcBorders>
              <w:tl2br w:val="nil"/>
              <w:tr2bl w:val="nil"/>
            </w:tcBorders>
            <w:noWrap w:val="0"/>
            <w:vAlign w:val="center"/>
          </w:tcPr>
          <w:p>
            <w:pPr>
              <w:widowControl/>
              <w:spacing w:line="280" w:lineRule="exact"/>
              <w:jc w:val="left"/>
              <w:rPr>
                <w:rFonts w:hint="eastAsia" w:ascii="仿宋_GB2312" w:hAnsi="仿宋_GB2312" w:eastAsia="仿宋_GB2312" w:cs="仿宋_GB2312"/>
                <w:kern w:val="0"/>
                <w:sz w:val="24"/>
                <w:highlight w:val="none"/>
              </w:rPr>
            </w:pPr>
            <w:r>
              <w:rPr>
                <w:rFonts w:hint="eastAsia" w:ascii="仿宋_GB2312" w:hAnsi="仿宋_GB2312" w:eastAsia="仿宋_GB2312" w:cs="仿宋_GB2312"/>
                <w:kern w:val="0"/>
                <w:sz w:val="24"/>
                <w:highlight w:val="none"/>
              </w:rPr>
              <w:t>城市公共电汽车、轨道交通基础票价</w:t>
            </w:r>
          </w:p>
        </w:tc>
        <w:tc>
          <w:tcPr>
            <w:tcW w:w="2415" w:type="dxa"/>
            <w:vMerge w:val="restart"/>
            <w:tcBorders>
              <w:tl2br w:val="nil"/>
              <w:tr2bl w:val="nil"/>
            </w:tcBorders>
            <w:noWrap w:val="0"/>
            <w:vAlign w:val="center"/>
          </w:tcPr>
          <w:p>
            <w:pPr>
              <w:widowControl/>
              <w:spacing w:line="280" w:lineRule="exact"/>
              <w:jc w:val="center"/>
              <w:rPr>
                <w:rFonts w:hint="eastAsia" w:ascii="仿宋_GB2312" w:hAnsi="仿宋_GB2312" w:eastAsia="仿宋_GB2312" w:cs="仿宋_GB2312"/>
                <w:kern w:val="0"/>
                <w:sz w:val="24"/>
                <w:highlight w:val="none"/>
              </w:rPr>
            </w:pPr>
            <w:r>
              <w:rPr>
                <w:rFonts w:hint="eastAsia" w:ascii="仿宋_GB2312" w:hAnsi="仿宋_GB2312" w:eastAsia="仿宋_GB2312" w:cs="仿宋_GB2312"/>
                <w:kern w:val="0"/>
                <w:sz w:val="24"/>
                <w:highlight w:val="none"/>
              </w:rPr>
              <w:t>市价格主管部门、</w:t>
            </w:r>
          </w:p>
          <w:p>
            <w:pPr>
              <w:widowControl/>
              <w:spacing w:line="280" w:lineRule="exact"/>
              <w:jc w:val="center"/>
              <w:rPr>
                <w:rFonts w:hint="eastAsia" w:ascii="仿宋_GB2312" w:hAnsi="仿宋_GB2312" w:eastAsia="仿宋_GB2312" w:cs="仿宋_GB2312"/>
                <w:kern w:val="0"/>
                <w:sz w:val="24"/>
                <w:highlight w:val="none"/>
              </w:rPr>
            </w:pPr>
            <w:r>
              <w:rPr>
                <w:rFonts w:hint="eastAsia" w:ascii="仿宋_GB2312" w:hAnsi="仿宋_GB2312" w:eastAsia="仿宋_GB2312" w:cs="仿宋_GB2312"/>
                <w:kern w:val="0"/>
                <w:sz w:val="24"/>
                <w:highlight w:val="none"/>
              </w:rPr>
              <w:t>授权区人民政府</w:t>
            </w:r>
          </w:p>
        </w:tc>
        <w:tc>
          <w:tcPr>
            <w:tcW w:w="4366" w:type="dxa"/>
            <w:tcBorders>
              <w:tl2br w:val="nil"/>
              <w:tr2bl w:val="nil"/>
            </w:tcBorders>
            <w:noWrap w:val="0"/>
            <w:vAlign w:val="center"/>
          </w:tcPr>
          <w:p>
            <w:pPr>
              <w:widowControl/>
              <w:spacing w:line="280" w:lineRule="exact"/>
              <w:jc w:val="left"/>
              <w:rPr>
                <w:rFonts w:hint="eastAsia" w:ascii="仿宋_GB2312" w:hAnsi="仿宋_GB2312" w:eastAsia="仿宋_GB2312" w:cs="仿宋_GB2312"/>
                <w:kern w:val="0"/>
                <w:sz w:val="24"/>
                <w:highlight w:val="none"/>
              </w:rPr>
            </w:pPr>
            <w:r>
              <w:rPr>
                <w:rFonts w:hint="eastAsia" w:ascii="仿宋_GB2312" w:hAnsi="仿宋_GB2312" w:eastAsia="仿宋_GB2312" w:cs="仿宋_GB2312"/>
                <w:kern w:val="0"/>
                <w:sz w:val="24"/>
                <w:highlight w:val="none"/>
              </w:rPr>
              <w:t>其中郊区客运票价授权区人民政府制定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21" w:type="dxa"/>
            <w:vMerge w:val="continue"/>
            <w:tcBorders>
              <w:tl2br w:val="nil"/>
              <w:tr2bl w:val="nil"/>
            </w:tcBorders>
            <w:noWrap w:val="0"/>
            <w:vAlign w:val="center"/>
          </w:tcPr>
          <w:p>
            <w:pPr>
              <w:widowControl/>
              <w:spacing w:line="280" w:lineRule="exact"/>
              <w:jc w:val="center"/>
              <w:rPr>
                <w:rFonts w:ascii="宋体" w:hAnsi="宋体" w:cs="宋体"/>
                <w:kern w:val="0"/>
                <w:sz w:val="24"/>
                <w:highlight w:val="none"/>
              </w:rPr>
            </w:pPr>
          </w:p>
        </w:tc>
        <w:tc>
          <w:tcPr>
            <w:tcW w:w="1202" w:type="dxa"/>
            <w:vMerge w:val="continue"/>
            <w:tcBorders>
              <w:tl2br w:val="nil"/>
              <w:tr2bl w:val="nil"/>
            </w:tcBorders>
            <w:noWrap w:val="0"/>
            <w:vAlign w:val="center"/>
          </w:tcPr>
          <w:p>
            <w:pPr>
              <w:widowControl/>
              <w:spacing w:line="280" w:lineRule="exact"/>
              <w:jc w:val="center"/>
              <w:rPr>
                <w:rFonts w:ascii="宋体" w:hAnsi="宋体" w:cs="宋体"/>
                <w:kern w:val="0"/>
                <w:sz w:val="24"/>
                <w:highlight w:val="none"/>
              </w:rPr>
            </w:pPr>
          </w:p>
        </w:tc>
        <w:tc>
          <w:tcPr>
            <w:tcW w:w="706" w:type="dxa"/>
            <w:vMerge w:val="continue"/>
            <w:tcBorders>
              <w:tl2br w:val="nil"/>
              <w:tr2bl w:val="nil"/>
            </w:tcBorders>
            <w:noWrap w:val="0"/>
            <w:vAlign w:val="center"/>
          </w:tcPr>
          <w:p>
            <w:pPr>
              <w:widowControl/>
              <w:spacing w:line="280" w:lineRule="exact"/>
              <w:jc w:val="left"/>
              <w:rPr>
                <w:rFonts w:ascii="宋体" w:hAnsi="宋体" w:cs="宋体"/>
                <w:kern w:val="0"/>
                <w:sz w:val="24"/>
                <w:highlight w:val="none"/>
              </w:rPr>
            </w:pPr>
          </w:p>
        </w:tc>
        <w:tc>
          <w:tcPr>
            <w:tcW w:w="4889" w:type="dxa"/>
            <w:tcBorders>
              <w:tl2br w:val="nil"/>
              <w:tr2bl w:val="nil"/>
            </w:tcBorders>
            <w:noWrap w:val="0"/>
            <w:vAlign w:val="center"/>
          </w:tcPr>
          <w:p>
            <w:pPr>
              <w:widowControl/>
              <w:spacing w:line="280" w:lineRule="exact"/>
              <w:jc w:val="left"/>
              <w:rPr>
                <w:rFonts w:hint="eastAsia" w:ascii="仿宋_GB2312" w:hAnsi="仿宋_GB2312" w:eastAsia="仿宋_GB2312" w:cs="仿宋_GB2312"/>
                <w:kern w:val="0"/>
                <w:sz w:val="24"/>
                <w:highlight w:val="none"/>
              </w:rPr>
            </w:pPr>
            <w:r>
              <w:rPr>
                <w:rFonts w:hint="eastAsia" w:ascii="仿宋_GB2312" w:eastAsia="仿宋_GB2312"/>
                <w:bCs/>
                <w:sz w:val="24"/>
                <w:highlight w:val="none"/>
              </w:rPr>
              <w:t>客运出租汽车运价、燃油附加费标准</w:t>
            </w:r>
          </w:p>
        </w:tc>
        <w:tc>
          <w:tcPr>
            <w:tcW w:w="2415" w:type="dxa"/>
            <w:vMerge w:val="continue"/>
            <w:tcBorders>
              <w:tl2br w:val="nil"/>
              <w:tr2bl w:val="nil"/>
            </w:tcBorders>
            <w:noWrap w:val="0"/>
            <w:vAlign w:val="center"/>
          </w:tcPr>
          <w:p>
            <w:pPr>
              <w:widowControl/>
              <w:spacing w:line="280" w:lineRule="exact"/>
              <w:jc w:val="center"/>
              <w:rPr>
                <w:rFonts w:hint="eastAsia" w:ascii="仿宋_GB2312" w:hAnsi="仿宋_GB2312" w:eastAsia="仿宋_GB2312" w:cs="仿宋_GB2312"/>
                <w:kern w:val="0"/>
                <w:sz w:val="24"/>
                <w:highlight w:val="none"/>
              </w:rPr>
            </w:pPr>
          </w:p>
        </w:tc>
        <w:tc>
          <w:tcPr>
            <w:tcW w:w="4366" w:type="dxa"/>
            <w:tcBorders>
              <w:tl2br w:val="nil"/>
              <w:tr2bl w:val="nil"/>
            </w:tcBorders>
            <w:noWrap w:val="0"/>
            <w:vAlign w:val="center"/>
          </w:tcPr>
          <w:p>
            <w:pPr>
              <w:spacing w:line="280" w:lineRule="exact"/>
              <w:jc w:val="left"/>
              <w:rPr>
                <w:rFonts w:hint="eastAsia" w:ascii="仿宋_GB2312" w:hAnsi="仿宋_GB2312" w:eastAsia="仿宋_GB2312" w:cs="仿宋_GB2312"/>
                <w:kern w:val="0"/>
                <w:sz w:val="24"/>
                <w:highlight w:val="none"/>
              </w:rPr>
            </w:pPr>
            <w:r>
              <w:rPr>
                <w:rFonts w:hint="eastAsia" w:ascii="仿宋_GB2312" w:hAnsi="仿宋_GB2312" w:eastAsia="仿宋_GB2312" w:cs="仿宋_GB2312"/>
                <w:kern w:val="0"/>
                <w:sz w:val="24"/>
                <w:highlight w:val="none"/>
              </w:rPr>
              <w:t>网络预约出租汽车、旅游客运汽车除外。</w:t>
            </w:r>
          </w:p>
          <w:p>
            <w:pPr>
              <w:spacing w:line="280" w:lineRule="exact"/>
              <w:jc w:val="left"/>
              <w:rPr>
                <w:rFonts w:hint="eastAsia" w:ascii="仿宋_GB2312" w:hAnsi="仿宋_GB2312" w:eastAsia="仿宋_GB2312" w:cs="仿宋_GB2312"/>
                <w:kern w:val="0"/>
                <w:sz w:val="24"/>
                <w:highlight w:val="none"/>
              </w:rPr>
            </w:pPr>
            <w:r>
              <w:rPr>
                <w:rFonts w:hint="eastAsia" w:ascii="仿宋_GB2312" w:hAnsi="仿宋_GB2312" w:eastAsia="仿宋_GB2312" w:cs="仿宋_GB2312"/>
                <w:kern w:val="0"/>
                <w:sz w:val="24"/>
                <w:highlight w:val="none"/>
              </w:rPr>
              <w:t>其中郊区区域运营电动小客车运价授权区人民政府制定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1" w:type="dxa"/>
            <w:vMerge w:val="continue"/>
            <w:tcBorders>
              <w:tl2br w:val="nil"/>
              <w:tr2bl w:val="nil"/>
            </w:tcBorders>
            <w:noWrap w:val="0"/>
            <w:vAlign w:val="center"/>
          </w:tcPr>
          <w:p>
            <w:pPr>
              <w:widowControl/>
              <w:spacing w:line="280" w:lineRule="exact"/>
              <w:jc w:val="center"/>
              <w:rPr>
                <w:rFonts w:hint="eastAsia" w:ascii="仿宋_GB2312" w:hAnsi="仿宋_GB2312" w:eastAsia="仿宋_GB2312" w:cs="仿宋_GB2312"/>
                <w:kern w:val="0"/>
                <w:sz w:val="24"/>
                <w:highlight w:val="none"/>
              </w:rPr>
            </w:pPr>
          </w:p>
        </w:tc>
        <w:tc>
          <w:tcPr>
            <w:tcW w:w="1202" w:type="dxa"/>
            <w:vMerge w:val="continue"/>
            <w:tcBorders>
              <w:tl2br w:val="nil"/>
              <w:tr2bl w:val="nil"/>
            </w:tcBorders>
            <w:noWrap w:val="0"/>
            <w:vAlign w:val="center"/>
          </w:tcPr>
          <w:p>
            <w:pPr>
              <w:widowControl/>
              <w:spacing w:line="280" w:lineRule="exact"/>
              <w:jc w:val="center"/>
              <w:rPr>
                <w:rFonts w:hint="eastAsia" w:ascii="仿宋_GB2312" w:hAnsi="仿宋_GB2312" w:eastAsia="仿宋_GB2312" w:cs="仿宋_GB2312"/>
                <w:kern w:val="0"/>
                <w:sz w:val="24"/>
                <w:highlight w:val="none"/>
              </w:rPr>
            </w:pPr>
          </w:p>
        </w:tc>
        <w:tc>
          <w:tcPr>
            <w:tcW w:w="706" w:type="dxa"/>
            <w:vMerge w:val="restart"/>
            <w:tcBorders>
              <w:tl2br w:val="nil"/>
              <w:tr2bl w:val="nil"/>
            </w:tcBorders>
            <w:noWrap w:val="0"/>
            <w:vAlign w:val="center"/>
          </w:tcPr>
          <w:p>
            <w:pPr>
              <w:widowControl/>
              <w:spacing w:line="280" w:lineRule="exact"/>
              <w:jc w:val="left"/>
              <w:rPr>
                <w:rFonts w:hint="eastAsia" w:ascii="仿宋_GB2312" w:hAnsi="仿宋_GB2312" w:eastAsia="仿宋_GB2312" w:cs="仿宋_GB2312"/>
                <w:kern w:val="0"/>
                <w:sz w:val="24"/>
                <w:highlight w:val="none"/>
              </w:rPr>
            </w:pPr>
            <w:r>
              <w:rPr>
                <w:rFonts w:hint="eastAsia" w:ascii="仿宋_GB2312" w:hAnsi="仿宋_GB2312" w:eastAsia="仿宋_GB2312" w:cs="仿宋_GB2312"/>
                <w:kern w:val="0"/>
                <w:sz w:val="24"/>
                <w:highlight w:val="none"/>
              </w:rPr>
              <w:t>车辆</w:t>
            </w:r>
          </w:p>
          <w:p>
            <w:pPr>
              <w:widowControl/>
              <w:spacing w:line="280" w:lineRule="exact"/>
              <w:jc w:val="left"/>
              <w:rPr>
                <w:rFonts w:hint="eastAsia" w:ascii="仿宋_GB2312" w:hAnsi="仿宋_GB2312" w:eastAsia="仿宋_GB2312" w:cs="仿宋_GB2312"/>
                <w:kern w:val="0"/>
                <w:sz w:val="24"/>
                <w:highlight w:val="none"/>
              </w:rPr>
            </w:pPr>
            <w:r>
              <w:rPr>
                <w:rFonts w:hint="eastAsia" w:ascii="仿宋_GB2312" w:hAnsi="仿宋_GB2312" w:eastAsia="仿宋_GB2312" w:cs="仿宋_GB2312"/>
                <w:kern w:val="0"/>
                <w:sz w:val="24"/>
                <w:highlight w:val="none"/>
              </w:rPr>
              <w:t>停放</w:t>
            </w:r>
          </w:p>
        </w:tc>
        <w:tc>
          <w:tcPr>
            <w:tcW w:w="4889" w:type="dxa"/>
            <w:tcBorders>
              <w:tl2br w:val="nil"/>
              <w:tr2bl w:val="nil"/>
            </w:tcBorders>
            <w:noWrap w:val="0"/>
            <w:vAlign w:val="center"/>
          </w:tcPr>
          <w:p>
            <w:pPr>
              <w:spacing w:line="280" w:lineRule="exact"/>
              <w:jc w:val="left"/>
              <w:rPr>
                <w:rFonts w:hint="eastAsia" w:ascii="仿宋_GB2312" w:hAnsi="仿宋_GB2312" w:eastAsia="仿宋_GB2312" w:cs="仿宋_GB2312"/>
                <w:kern w:val="0"/>
                <w:sz w:val="24"/>
                <w:highlight w:val="none"/>
              </w:rPr>
            </w:pPr>
            <w:r>
              <w:rPr>
                <w:rFonts w:hint="eastAsia" w:ascii="仿宋_GB2312" w:hAnsi="仿宋_GB2312" w:eastAsia="仿宋_GB2312" w:cs="仿宋_GB2312"/>
                <w:kern w:val="0"/>
                <w:sz w:val="24"/>
                <w:highlight w:val="none"/>
              </w:rPr>
              <w:t>驻车换乘停车场收费</w:t>
            </w:r>
          </w:p>
        </w:tc>
        <w:tc>
          <w:tcPr>
            <w:tcW w:w="2415" w:type="dxa"/>
            <w:tcBorders>
              <w:tl2br w:val="nil"/>
              <w:tr2bl w:val="nil"/>
            </w:tcBorders>
            <w:noWrap w:val="0"/>
            <w:vAlign w:val="center"/>
          </w:tcPr>
          <w:p>
            <w:pPr>
              <w:spacing w:line="280" w:lineRule="exact"/>
              <w:jc w:val="center"/>
              <w:rPr>
                <w:rFonts w:hint="eastAsia" w:ascii="仿宋_GB2312" w:hAnsi="仿宋_GB2312" w:eastAsia="仿宋_GB2312" w:cs="仿宋_GB2312"/>
                <w:kern w:val="0"/>
                <w:sz w:val="24"/>
                <w:highlight w:val="none"/>
              </w:rPr>
            </w:pPr>
            <w:r>
              <w:rPr>
                <w:rFonts w:hint="eastAsia" w:ascii="仿宋_GB2312" w:hAnsi="仿宋_GB2312" w:eastAsia="仿宋_GB2312" w:cs="仿宋_GB2312"/>
                <w:kern w:val="0"/>
                <w:sz w:val="24"/>
                <w:highlight w:val="none"/>
              </w:rPr>
              <w:t>市价格主管部门</w:t>
            </w:r>
          </w:p>
        </w:tc>
        <w:tc>
          <w:tcPr>
            <w:tcW w:w="4366" w:type="dxa"/>
            <w:tcBorders>
              <w:tl2br w:val="nil"/>
              <w:tr2bl w:val="nil"/>
            </w:tcBorders>
            <w:noWrap w:val="0"/>
            <w:vAlign w:val="center"/>
          </w:tcPr>
          <w:p>
            <w:pPr>
              <w:widowControl/>
              <w:spacing w:line="280" w:lineRule="exact"/>
              <w:jc w:val="left"/>
              <w:rPr>
                <w:rFonts w:hint="eastAsia" w:ascii="仿宋_GB2312" w:hAnsi="仿宋_GB2312" w:eastAsia="仿宋_GB2312" w:cs="仿宋_GB2312"/>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721" w:type="dxa"/>
            <w:vMerge w:val="continue"/>
            <w:tcBorders>
              <w:tl2br w:val="nil"/>
              <w:tr2bl w:val="nil"/>
            </w:tcBorders>
            <w:noWrap w:val="0"/>
            <w:vAlign w:val="center"/>
          </w:tcPr>
          <w:p>
            <w:pPr>
              <w:widowControl/>
              <w:spacing w:line="280" w:lineRule="exact"/>
              <w:jc w:val="center"/>
              <w:rPr>
                <w:rFonts w:hint="eastAsia" w:ascii="仿宋_GB2312" w:hAnsi="仿宋_GB2312" w:eastAsia="仿宋_GB2312" w:cs="仿宋_GB2312"/>
                <w:kern w:val="0"/>
                <w:sz w:val="24"/>
                <w:highlight w:val="none"/>
              </w:rPr>
            </w:pPr>
          </w:p>
        </w:tc>
        <w:tc>
          <w:tcPr>
            <w:tcW w:w="1202" w:type="dxa"/>
            <w:vMerge w:val="continue"/>
            <w:tcBorders>
              <w:tl2br w:val="nil"/>
              <w:tr2bl w:val="nil"/>
            </w:tcBorders>
            <w:noWrap w:val="0"/>
            <w:vAlign w:val="center"/>
          </w:tcPr>
          <w:p>
            <w:pPr>
              <w:widowControl/>
              <w:spacing w:line="280" w:lineRule="exact"/>
              <w:jc w:val="center"/>
              <w:rPr>
                <w:rFonts w:hint="eastAsia" w:ascii="仿宋_GB2312" w:hAnsi="仿宋_GB2312" w:eastAsia="仿宋_GB2312" w:cs="仿宋_GB2312"/>
                <w:kern w:val="0"/>
                <w:sz w:val="24"/>
                <w:highlight w:val="none"/>
              </w:rPr>
            </w:pPr>
          </w:p>
        </w:tc>
        <w:tc>
          <w:tcPr>
            <w:tcW w:w="706" w:type="dxa"/>
            <w:vMerge w:val="continue"/>
            <w:tcBorders>
              <w:tl2br w:val="nil"/>
              <w:tr2bl w:val="nil"/>
            </w:tcBorders>
            <w:noWrap w:val="0"/>
            <w:vAlign w:val="center"/>
          </w:tcPr>
          <w:p>
            <w:pPr>
              <w:widowControl/>
              <w:spacing w:line="280" w:lineRule="exact"/>
              <w:jc w:val="left"/>
              <w:rPr>
                <w:rFonts w:hint="eastAsia" w:ascii="仿宋_GB2312" w:hAnsi="仿宋_GB2312" w:eastAsia="仿宋_GB2312" w:cs="仿宋_GB2312"/>
                <w:kern w:val="0"/>
                <w:sz w:val="24"/>
                <w:highlight w:val="none"/>
              </w:rPr>
            </w:pPr>
          </w:p>
        </w:tc>
        <w:tc>
          <w:tcPr>
            <w:tcW w:w="4889" w:type="dxa"/>
            <w:tcBorders>
              <w:tl2br w:val="nil"/>
              <w:tr2bl w:val="nil"/>
            </w:tcBorders>
            <w:noWrap w:val="0"/>
            <w:vAlign w:val="center"/>
          </w:tcPr>
          <w:p>
            <w:pPr>
              <w:spacing w:line="280" w:lineRule="exact"/>
              <w:jc w:val="left"/>
              <w:rPr>
                <w:rFonts w:hint="eastAsia" w:ascii="仿宋_GB2312" w:hAnsi="仿宋_GB2312" w:eastAsia="仿宋_GB2312" w:cs="仿宋_GB2312"/>
                <w:kern w:val="0"/>
                <w:sz w:val="24"/>
                <w:highlight w:val="none"/>
              </w:rPr>
            </w:pPr>
            <w:r>
              <w:rPr>
                <w:rFonts w:hint="eastAsia" w:ascii="仿宋_GB2312" w:hAnsi="仿宋_GB2312" w:eastAsia="仿宋_GB2312" w:cs="仿宋_GB2312"/>
                <w:sz w:val="24"/>
                <w:highlight w:val="none"/>
              </w:rPr>
              <w:t>道路停车占道费</w:t>
            </w:r>
          </w:p>
        </w:tc>
        <w:tc>
          <w:tcPr>
            <w:tcW w:w="2415" w:type="dxa"/>
            <w:tcBorders>
              <w:tl2br w:val="nil"/>
              <w:tr2bl w:val="nil"/>
            </w:tcBorders>
            <w:noWrap w:val="0"/>
            <w:vAlign w:val="center"/>
          </w:tcPr>
          <w:p>
            <w:pPr>
              <w:spacing w:line="280" w:lineRule="exact"/>
              <w:jc w:val="center"/>
              <w:rPr>
                <w:rFonts w:hint="eastAsia" w:ascii="仿宋_GB2312" w:hAnsi="仿宋_GB2312" w:eastAsia="仿宋_GB2312" w:cs="仿宋_GB2312"/>
                <w:kern w:val="0"/>
                <w:sz w:val="24"/>
                <w:highlight w:val="none"/>
              </w:rPr>
            </w:pPr>
            <w:r>
              <w:rPr>
                <w:rFonts w:hint="eastAsia" w:ascii="仿宋_GB2312" w:hAnsi="仿宋_GB2312" w:eastAsia="仿宋_GB2312" w:cs="仿宋_GB2312"/>
                <w:kern w:val="0"/>
                <w:sz w:val="24"/>
                <w:highlight w:val="none"/>
              </w:rPr>
              <w:t>市价格主管部门会同市财政部门、市交通主管部门</w:t>
            </w:r>
          </w:p>
        </w:tc>
        <w:tc>
          <w:tcPr>
            <w:tcW w:w="4366" w:type="dxa"/>
            <w:tcBorders>
              <w:tl2br w:val="nil"/>
              <w:tr2bl w:val="nil"/>
            </w:tcBorders>
            <w:noWrap w:val="0"/>
            <w:vAlign w:val="center"/>
          </w:tcPr>
          <w:p>
            <w:pPr>
              <w:spacing w:line="280" w:lineRule="exact"/>
              <w:jc w:val="left"/>
              <w:rPr>
                <w:rFonts w:hint="eastAsia" w:ascii="仿宋_GB2312" w:hAnsi="仿宋_GB2312" w:eastAsia="仿宋_GB2312" w:cs="仿宋_GB2312"/>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1" w:hRule="atLeast"/>
          <w:jc w:val="center"/>
        </w:trPr>
        <w:tc>
          <w:tcPr>
            <w:tcW w:w="721" w:type="dxa"/>
            <w:vMerge w:val="restart"/>
            <w:tcBorders>
              <w:tl2br w:val="nil"/>
              <w:tr2bl w:val="nil"/>
            </w:tcBorders>
            <w:noWrap w:val="0"/>
            <w:vAlign w:val="center"/>
          </w:tcPr>
          <w:p>
            <w:pPr>
              <w:widowControl/>
              <w:spacing w:line="320" w:lineRule="exact"/>
              <w:jc w:val="center"/>
              <w:rPr>
                <w:rFonts w:hint="eastAsia" w:ascii="仿宋_GB2312" w:hAnsi="仿宋_GB2312" w:eastAsia="仿宋_GB2312" w:cs="仿宋_GB2312"/>
                <w:kern w:val="0"/>
                <w:sz w:val="24"/>
                <w:highlight w:val="none"/>
              </w:rPr>
            </w:pPr>
            <w:r>
              <w:rPr>
                <w:rFonts w:hint="eastAsia" w:ascii="仿宋_GB2312" w:hAnsi="仿宋_GB2312" w:eastAsia="仿宋_GB2312" w:cs="仿宋_GB2312"/>
                <w:kern w:val="0"/>
                <w:sz w:val="24"/>
                <w:highlight w:val="none"/>
              </w:rPr>
              <w:t>7</w:t>
            </w:r>
          </w:p>
        </w:tc>
        <w:tc>
          <w:tcPr>
            <w:tcW w:w="1202" w:type="dxa"/>
            <w:vMerge w:val="restart"/>
            <w:tcBorders>
              <w:tl2br w:val="nil"/>
              <w:tr2bl w:val="nil"/>
            </w:tcBorders>
            <w:noWrap w:val="0"/>
            <w:vAlign w:val="center"/>
          </w:tcPr>
          <w:p>
            <w:pPr>
              <w:widowControl/>
              <w:spacing w:line="320" w:lineRule="exact"/>
              <w:jc w:val="center"/>
              <w:rPr>
                <w:rFonts w:hint="eastAsia" w:ascii="仿宋_GB2312" w:hAnsi="仿宋_GB2312" w:eastAsia="仿宋_GB2312" w:cs="仿宋_GB2312"/>
                <w:kern w:val="0"/>
                <w:sz w:val="24"/>
                <w:highlight w:val="none"/>
              </w:rPr>
            </w:pPr>
            <w:r>
              <w:rPr>
                <w:rFonts w:hint="eastAsia" w:ascii="仿宋_GB2312" w:hAnsi="仿宋_GB2312" w:eastAsia="仿宋_GB2312" w:cs="仿宋_GB2312"/>
                <w:kern w:val="0"/>
                <w:sz w:val="24"/>
                <w:highlight w:val="none"/>
              </w:rPr>
              <w:t>教育</w:t>
            </w:r>
          </w:p>
        </w:tc>
        <w:tc>
          <w:tcPr>
            <w:tcW w:w="5595" w:type="dxa"/>
            <w:gridSpan w:val="2"/>
            <w:tcBorders>
              <w:tl2br w:val="nil"/>
              <w:tr2bl w:val="nil"/>
            </w:tcBorders>
            <w:noWrap w:val="0"/>
            <w:vAlign w:val="center"/>
          </w:tcPr>
          <w:p>
            <w:pPr>
              <w:widowControl/>
              <w:spacing w:line="320" w:lineRule="exact"/>
              <w:jc w:val="left"/>
              <w:rPr>
                <w:rFonts w:hint="eastAsia" w:ascii="仿宋_GB2312" w:hAnsi="仿宋_GB2312" w:eastAsia="仿宋_GB2312" w:cs="仿宋_GB2312"/>
                <w:kern w:val="0"/>
                <w:sz w:val="24"/>
                <w:highlight w:val="none"/>
              </w:rPr>
            </w:pPr>
            <w:r>
              <w:rPr>
                <w:rFonts w:hint="eastAsia" w:ascii="仿宋_GB2312" w:hAnsi="仿宋_GB2312" w:eastAsia="仿宋_GB2312" w:cs="仿宋_GB2312"/>
                <w:kern w:val="0"/>
                <w:sz w:val="24"/>
                <w:highlight w:val="none"/>
              </w:rPr>
              <w:t>列入本市教育行政主管部门颁布的中小学用书目录的教材和进入市教育行政主管部门评议公告的教辅材料印张单价和零售价格</w:t>
            </w:r>
          </w:p>
        </w:tc>
        <w:tc>
          <w:tcPr>
            <w:tcW w:w="2415" w:type="dxa"/>
            <w:tcBorders>
              <w:tl2br w:val="nil"/>
              <w:tr2bl w:val="nil"/>
            </w:tcBorders>
            <w:noWrap w:val="0"/>
            <w:vAlign w:val="center"/>
          </w:tcPr>
          <w:p>
            <w:pPr>
              <w:widowControl/>
              <w:spacing w:line="320" w:lineRule="exact"/>
              <w:jc w:val="center"/>
              <w:rPr>
                <w:rFonts w:hint="eastAsia" w:ascii="仿宋_GB2312" w:hAnsi="仿宋_GB2312" w:eastAsia="仿宋_GB2312" w:cs="仿宋_GB2312"/>
                <w:kern w:val="0"/>
                <w:sz w:val="24"/>
                <w:highlight w:val="none"/>
              </w:rPr>
            </w:pPr>
            <w:r>
              <w:rPr>
                <w:rFonts w:hint="eastAsia" w:ascii="仿宋_GB2312" w:hAnsi="仿宋_GB2312" w:eastAsia="仿宋_GB2312" w:cs="仿宋_GB2312"/>
                <w:kern w:val="0"/>
                <w:sz w:val="24"/>
                <w:highlight w:val="none"/>
              </w:rPr>
              <w:t>市价格主管部门会同</w:t>
            </w:r>
          </w:p>
          <w:p>
            <w:pPr>
              <w:widowControl/>
              <w:spacing w:line="320" w:lineRule="exact"/>
              <w:jc w:val="center"/>
              <w:rPr>
                <w:rFonts w:hint="eastAsia" w:ascii="仿宋_GB2312" w:hAnsi="仿宋_GB2312" w:eastAsia="仿宋_GB2312" w:cs="仿宋_GB2312"/>
                <w:kern w:val="0"/>
                <w:sz w:val="24"/>
                <w:highlight w:val="none"/>
              </w:rPr>
            </w:pPr>
            <w:r>
              <w:rPr>
                <w:rFonts w:hint="eastAsia" w:ascii="仿宋_GB2312" w:hAnsi="仿宋_GB2312" w:eastAsia="仿宋_GB2312" w:cs="仿宋_GB2312"/>
                <w:kern w:val="0"/>
                <w:sz w:val="24"/>
                <w:highlight w:val="none"/>
              </w:rPr>
              <w:t>市出版行政部门</w:t>
            </w:r>
          </w:p>
        </w:tc>
        <w:tc>
          <w:tcPr>
            <w:tcW w:w="4366" w:type="dxa"/>
            <w:tcBorders>
              <w:tl2br w:val="nil"/>
              <w:tr2bl w:val="nil"/>
            </w:tcBorders>
            <w:noWrap w:val="0"/>
            <w:vAlign w:val="center"/>
          </w:tcPr>
          <w:p>
            <w:pPr>
              <w:widowControl/>
              <w:spacing w:line="320" w:lineRule="exact"/>
              <w:jc w:val="left"/>
              <w:rPr>
                <w:rFonts w:hint="eastAsia" w:ascii="仿宋_GB2312" w:hAnsi="仿宋_GB2312" w:eastAsia="仿宋_GB2312" w:cs="仿宋_GB2312"/>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7" w:hRule="atLeast"/>
          <w:jc w:val="center"/>
        </w:trPr>
        <w:tc>
          <w:tcPr>
            <w:tcW w:w="721" w:type="dxa"/>
            <w:vMerge w:val="continue"/>
            <w:tcBorders>
              <w:tl2br w:val="nil"/>
              <w:tr2bl w:val="nil"/>
            </w:tcBorders>
            <w:noWrap w:val="0"/>
            <w:vAlign w:val="center"/>
          </w:tcPr>
          <w:p>
            <w:pPr>
              <w:widowControl/>
              <w:spacing w:line="320" w:lineRule="exact"/>
              <w:jc w:val="center"/>
              <w:rPr>
                <w:rFonts w:hint="eastAsia" w:ascii="仿宋_GB2312" w:hAnsi="仿宋_GB2312" w:eastAsia="仿宋_GB2312" w:cs="仿宋_GB2312"/>
                <w:kern w:val="0"/>
                <w:sz w:val="24"/>
                <w:highlight w:val="none"/>
              </w:rPr>
            </w:pPr>
          </w:p>
        </w:tc>
        <w:tc>
          <w:tcPr>
            <w:tcW w:w="1202" w:type="dxa"/>
            <w:vMerge w:val="continue"/>
            <w:tcBorders>
              <w:tl2br w:val="nil"/>
              <w:tr2bl w:val="nil"/>
            </w:tcBorders>
            <w:noWrap w:val="0"/>
            <w:vAlign w:val="center"/>
          </w:tcPr>
          <w:p>
            <w:pPr>
              <w:widowControl/>
              <w:spacing w:line="320" w:lineRule="exact"/>
              <w:jc w:val="center"/>
              <w:rPr>
                <w:rFonts w:hint="eastAsia" w:ascii="仿宋_GB2312" w:hAnsi="仿宋_GB2312" w:eastAsia="仿宋_GB2312" w:cs="仿宋_GB2312"/>
                <w:kern w:val="0"/>
                <w:sz w:val="24"/>
                <w:highlight w:val="none"/>
              </w:rPr>
            </w:pPr>
          </w:p>
        </w:tc>
        <w:tc>
          <w:tcPr>
            <w:tcW w:w="5595" w:type="dxa"/>
            <w:gridSpan w:val="2"/>
            <w:tcBorders>
              <w:tl2br w:val="nil"/>
              <w:tr2bl w:val="nil"/>
            </w:tcBorders>
            <w:noWrap w:val="0"/>
            <w:vAlign w:val="center"/>
          </w:tcPr>
          <w:p>
            <w:pPr>
              <w:widowControl/>
              <w:spacing w:line="320" w:lineRule="exact"/>
              <w:jc w:val="left"/>
              <w:rPr>
                <w:rFonts w:hint="eastAsia" w:ascii="仿宋_GB2312" w:hAnsi="仿宋_GB2312" w:eastAsia="仿宋_GB2312" w:cs="仿宋_GB2312"/>
                <w:kern w:val="0"/>
                <w:sz w:val="24"/>
                <w:highlight w:val="none"/>
              </w:rPr>
            </w:pPr>
            <w:r>
              <w:rPr>
                <w:rFonts w:hint="eastAsia" w:ascii="仿宋_GB2312" w:hAnsi="仿宋_GB2312" w:eastAsia="仿宋_GB2312" w:cs="仿宋_GB2312"/>
                <w:kern w:val="0"/>
                <w:sz w:val="24"/>
                <w:highlight w:val="none"/>
              </w:rPr>
              <w:t>公办全日制学历教育（包括高等教育、中等职业教育、普通高中）、公办成人学历教育学费</w:t>
            </w:r>
            <w:r>
              <w:rPr>
                <w:rFonts w:hint="eastAsia" w:ascii="仿宋_GB2312" w:hAnsi="仿宋_GB2312" w:eastAsia="仿宋_GB2312" w:cs="仿宋_GB2312"/>
                <w:kern w:val="0"/>
                <w:sz w:val="24"/>
                <w:highlight w:val="none"/>
                <w:lang w:eastAsia="zh-CN"/>
              </w:rPr>
              <w:t>，</w:t>
            </w:r>
            <w:r>
              <w:rPr>
                <w:rFonts w:hint="eastAsia" w:ascii="仿宋_GB2312" w:hAnsi="仿宋_GB2312" w:eastAsia="仿宋_GB2312" w:cs="仿宋_GB2312"/>
                <w:kern w:val="0"/>
                <w:sz w:val="24"/>
                <w:highlight w:val="none"/>
              </w:rPr>
              <w:t>公办全日制幼儿园保育教育费</w:t>
            </w:r>
          </w:p>
        </w:tc>
        <w:tc>
          <w:tcPr>
            <w:tcW w:w="2415" w:type="dxa"/>
            <w:vMerge w:val="restart"/>
            <w:tcBorders>
              <w:tl2br w:val="nil"/>
              <w:tr2bl w:val="nil"/>
            </w:tcBorders>
            <w:noWrap w:val="0"/>
            <w:vAlign w:val="center"/>
          </w:tcPr>
          <w:p>
            <w:pPr>
              <w:widowControl/>
              <w:spacing w:line="320" w:lineRule="exact"/>
              <w:jc w:val="center"/>
              <w:rPr>
                <w:rFonts w:hint="eastAsia" w:ascii="仿宋_GB2312" w:hAnsi="仿宋_GB2312" w:eastAsia="仿宋_GB2312" w:cs="仿宋_GB2312"/>
                <w:kern w:val="0"/>
                <w:sz w:val="24"/>
                <w:highlight w:val="none"/>
              </w:rPr>
            </w:pPr>
            <w:r>
              <w:rPr>
                <w:rFonts w:hint="eastAsia" w:ascii="仿宋_GB2312" w:hAnsi="仿宋_GB2312" w:eastAsia="仿宋_GB2312" w:cs="仿宋_GB2312"/>
                <w:kern w:val="0"/>
                <w:sz w:val="24"/>
                <w:highlight w:val="none"/>
              </w:rPr>
              <w:t>市价格主管部门会同</w:t>
            </w:r>
          </w:p>
          <w:p>
            <w:pPr>
              <w:widowControl/>
              <w:spacing w:line="320" w:lineRule="exact"/>
              <w:jc w:val="center"/>
              <w:rPr>
                <w:rFonts w:hint="eastAsia" w:ascii="仿宋_GB2312" w:hAnsi="仿宋_GB2312" w:eastAsia="仿宋_GB2312" w:cs="仿宋_GB2312"/>
                <w:kern w:val="0"/>
                <w:sz w:val="24"/>
                <w:highlight w:val="none"/>
              </w:rPr>
            </w:pPr>
            <w:r>
              <w:rPr>
                <w:rFonts w:hint="eastAsia" w:ascii="仿宋_GB2312" w:hAnsi="仿宋_GB2312" w:eastAsia="仿宋_GB2312" w:cs="仿宋_GB2312"/>
                <w:kern w:val="0"/>
                <w:sz w:val="24"/>
                <w:highlight w:val="none"/>
              </w:rPr>
              <w:t>市财政部门</w:t>
            </w:r>
          </w:p>
        </w:tc>
        <w:tc>
          <w:tcPr>
            <w:tcW w:w="4366" w:type="dxa"/>
            <w:vMerge w:val="restart"/>
            <w:tcBorders>
              <w:tl2br w:val="nil"/>
              <w:tr2bl w:val="nil"/>
            </w:tcBorders>
            <w:noWrap w:val="0"/>
            <w:vAlign w:val="center"/>
          </w:tcPr>
          <w:p>
            <w:pPr>
              <w:widowControl/>
              <w:spacing w:line="320" w:lineRule="exact"/>
              <w:jc w:val="left"/>
              <w:rPr>
                <w:rFonts w:hint="eastAsia" w:ascii="仿宋_GB2312" w:hAnsi="仿宋_GB2312" w:eastAsia="仿宋_GB2312" w:cs="仿宋_GB2312"/>
                <w:kern w:val="0"/>
                <w:sz w:val="24"/>
                <w:highlight w:val="none"/>
              </w:rPr>
            </w:pPr>
            <w:r>
              <w:rPr>
                <w:rFonts w:hint="eastAsia" w:ascii="仿宋_GB2312" w:hAnsi="仿宋_GB2312" w:eastAsia="仿宋_GB2312" w:cs="仿宋_GB2312"/>
                <w:kern w:val="0"/>
                <w:sz w:val="24"/>
                <w:highlight w:val="none"/>
              </w:rPr>
              <w:t>公办全日制学历教育不包括中外合作办学项目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721" w:type="dxa"/>
            <w:vMerge w:val="continue"/>
            <w:tcBorders>
              <w:tl2br w:val="nil"/>
              <w:tr2bl w:val="nil"/>
            </w:tcBorders>
            <w:noWrap w:val="0"/>
            <w:vAlign w:val="center"/>
          </w:tcPr>
          <w:p>
            <w:pPr>
              <w:widowControl/>
              <w:spacing w:line="320" w:lineRule="exact"/>
              <w:jc w:val="center"/>
              <w:rPr>
                <w:rFonts w:hint="eastAsia" w:ascii="仿宋_GB2312" w:hAnsi="仿宋_GB2312" w:eastAsia="仿宋_GB2312" w:cs="仿宋_GB2312"/>
                <w:kern w:val="0"/>
                <w:sz w:val="24"/>
                <w:highlight w:val="none"/>
              </w:rPr>
            </w:pPr>
          </w:p>
        </w:tc>
        <w:tc>
          <w:tcPr>
            <w:tcW w:w="1202" w:type="dxa"/>
            <w:vMerge w:val="continue"/>
            <w:tcBorders>
              <w:tl2br w:val="nil"/>
              <w:tr2bl w:val="nil"/>
            </w:tcBorders>
            <w:noWrap w:val="0"/>
            <w:vAlign w:val="center"/>
          </w:tcPr>
          <w:p>
            <w:pPr>
              <w:widowControl/>
              <w:spacing w:line="320" w:lineRule="exact"/>
              <w:jc w:val="center"/>
              <w:rPr>
                <w:rFonts w:hint="eastAsia" w:ascii="仿宋_GB2312" w:hAnsi="仿宋_GB2312" w:eastAsia="仿宋_GB2312" w:cs="仿宋_GB2312"/>
                <w:kern w:val="0"/>
                <w:sz w:val="24"/>
                <w:highlight w:val="none"/>
              </w:rPr>
            </w:pPr>
          </w:p>
        </w:tc>
        <w:tc>
          <w:tcPr>
            <w:tcW w:w="5595" w:type="dxa"/>
            <w:gridSpan w:val="2"/>
            <w:tcBorders>
              <w:tl2br w:val="nil"/>
              <w:tr2bl w:val="nil"/>
            </w:tcBorders>
            <w:noWrap w:val="0"/>
            <w:vAlign w:val="center"/>
          </w:tcPr>
          <w:p>
            <w:pPr>
              <w:widowControl/>
              <w:spacing w:line="320" w:lineRule="exact"/>
              <w:jc w:val="left"/>
              <w:rPr>
                <w:rFonts w:hint="eastAsia" w:ascii="仿宋_GB2312" w:hAnsi="仿宋_GB2312" w:eastAsia="仿宋_GB2312" w:cs="仿宋_GB2312"/>
                <w:kern w:val="0"/>
                <w:sz w:val="24"/>
                <w:highlight w:val="none"/>
              </w:rPr>
            </w:pPr>
            <w:r>
              <w:rPr>
                <w:rFonts w:hint="eastAsia" w:ascii="仿宋_GB2312" w:hAnsi="仿宋_GB2312" w:eastAsia="仿宋_GB2312" w:cs="仿宋_GB2312"/>
                <w:kern w:val="0"/>
                <w:sz w:val="24"/>
                <w:highlight w:val="none"/>
              </w:rPr>
              <w:t>公办全日制学历教育（包括高等教育、中等职业教育）、公办全日制幼儿园住宿费</w:t>
            </w:r>
          </w:p>
        </w:tc>
        <w:tc>
          <w:tcPr>
            <w:tcW w:w="2415" w:type="dxa"/>
            <w:vMerge w:val="continue"/>
            <w:tcBorders>
              <w:tl2br w:val="nil"/>
              <w:tr2bl w:val="nil"/>
            </w:tcBorders>
            <w:noWrap w:val="0"/>
            <w:vAlign w:val="center"/>
          </w:tcPr>
          <w:p>
            <w:pPr>
              <w:widowControl/>
              <w:spacing w:line="320" w:lineRule="exact"/>
              <w:jc w:val="center"/>
              <w:rPr>
                <w:rFonts w:hint="eastAsia" w:ascii="仿宋_GB2312" w:hAnsi="仿宋_GB2312" w:eastAsia="仿宋_GB2312" w:cs="仿宋_GB2312"/>
                <w:kern w:val="0"/>
                <w:sz w:val="24"/>
                <w:highlight w:val="none"/>
              </w:rPr>
            </w:pPr>
          </w:p>
        </w:tc>
        <w:tc>
          <w:tcPr>
            <w:tcW w:w="4366" w:type="dxa"/>
            <w:vMerge w:val="continue"/>
            <w:tcBorders>
              <w:tl2br w:val="nil"/>
              <w:tr2bl w:val="nil"/>
            </w:tcBorders>
            <w:noWrap w:val="0"/>
            <w:vAlign w:val="center"/>
          </w:tcPr>
          <w:p>
            <w:pPr>
              <w:widowControl/>
              <w:spacing w:line="320" w:lineRule="exact"/>
              <w:jc w:val="left"/>
              <w:rPr>
                <w:rFonts w:hint="eastAsia" w:ascii="仿宋_GB2312" w:hAnsi="仿宋_GB2312" w:eastAsia="仿宋_GB2312" w:cs="仿宋_GB2312"/>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1" w:type="dxa"/>
            <w:vMerge w:val="continue"/>
            <w:tcBorders>
              <w:tl2br w:val="nil"/>
              <w:tr2bl w:val="nil"/>
            </w:tcBorders>
            <w:noWrap w:val="0"/>
            <w:vAlign w:val="center"/>
          </w:tcPr>
          <w:p>
            <w:pPr>
              <w:widowControl/>
              <w:spacing w:line="320" w:lineRule="exact"/>
              <w:jc w:val="center"/>
              <w:rPr>
                <w:rFonts w:hint="eastAsia" w:ascii="仿宋_GB2312" w:hAnsi="仿宋_GB2312" w:eastAsia="仿宋_GB2312" w:cs="仿宋_GB2312"/>
                <w:kern w:val="0"/>
                <w:sz w:val="24"/>
                <w:highlight w:val="none"/>
              </w:rPr>
            </w:pPr>
          </w:p>
        </w:tc>
        <w:tc>
          <w:tcPr>
            <w:tcW w:w="1202" w:type="dxa"/>
            <w:vMerge w:val="continue"/>
            <w:tcBorders>
              <w:tl2br w:val="nil"/>
              <w:tr2bl w:val="nil"/>
            </w:tcBorders>
            <w:noWrap w:val="0"/>
            <w:vAlign w:val="center"/>
          </w:tcPr>
          <w:p>
            <w:pPr>
              <w:widowControl/>
              <w:spacing w:line="320" w:lineRule="exact"/>
              <w:jc w:val="center"/>
              <w:rPr>
                <w:rFonts w:hint="eastAsia" w:ascii="仿宋_GB2312" w:hAnsi="仿宋_GB2312" w:eastAsia="仿宋_GB2312" w:cs="仿宋_GB2312"/>
                <w:kern w:val="0"/>
                <w:sz w:val="24"/>
                <w:highlight w:val="none"/>
              </w:rPr>
            </w:pPr>
          </w:p>
        </w:tc>
        <w:tc>
          <w:tcPr>
            <w:tcW w:w="5595" w:type="dxa"/>
            <w:gridSpan w:val="2"/>
            <w:tcBorders>
              <w:tl2br w:val="nil"/>
              <w:tr2bl w:val="nil"/>
            </w:tcBorders>
            <w:noWrap w:val="0"/>
            <w:vAlign w:val="center"/>
          </w:tcPr>
          <w:p>
            <w:pPr>
              <w:widowControl/>
              <w:spacing w:line="320" w:lineRule="exact"/>
              <w:jc w:val="left"/>
              <w:rPr>
                <w:rFonts w:hint="eastAsia" w:ascii="仿宋_GB2312" w:hAnsi="仿宋_GB2312" w:eastAsia="仿宋_GB2312" w:cs="仿宋_GB2312"/>
                <w:kern w:val="0"/>
                <w:sz w:val="24"/>
                <w:highlight w:val="none"/>
              </w:rPr>
            </w:pPr>
            <w:r>
              <w:rPr>
                <w:rFonts w:hint="eastAsia" w:ascii="仿宋_GB2312" w:hAnsi="仿宋_GB2312" w:eastAsia="仿宋_GB2312" w:cs="仿宋_GB2312"/>
                <w:kern w:val="0"/>
                <w:sz w:val="24"/>
                <w:highlight w:val="none"/>
              </w:rPr>
              <w:t>公办中小学教育、公办成人学历教育住宿费</w:t>
            </w:r>
          </w:p>
        </w:tc>
        <w:tc>
          <w:tcPr>
            <w:tcW w:w="2415" w:type="dxa"/>
            <w:tcBorders>
              <w:tl2br w:val="nil"/>
              <w:tr2bl w:val="nil"/>
            </w:tcBorders>
            <w:noWrap w:val="0"/>
            <w:vAlign w:val="center"/>
          </w:tcPr>
          <w:p>
            <w:pPr>
              <w:widowControl/>
              <w:spacing w:line="320" w:lineRule="exact"/>
              <w:jc w:val="center"/>
              <w:rPr>
                <w:rFonts w:hint="eastAsia" w:ascii="仿宋_GB2312" w:hAnsi="仿宋_GB2312" w:eastAsia="仿宋_GB2312" w:cs="仿宋_GB2312"/>
                <w:kern w:val="0"/>
                <w:sz w:val="24"/>
                <w:highlight w:val="none"/>
              </w:rPr>
            </w:pPr>
            <w:r>
              <w:rPr>
                <w:rFonts w:hint="eastAsia" w:ascii="仿宋_GB2312" w:hAnsi="仿宋_GB2312" w:eastAsia="仿宋_GB2312" w:cs="仿宋_GB2312"/>
                <w:kern w:val="0"/>
                <w:sz w:val="24"/>
                <w:highlight w:val="none"/>
              </w:rPr>
              <w:t>授权区人民政府</w:t>
            </w:r>
          </w:p>
        </w:tc>
        <w:tc>
          <w:tcPr>
            <w:tcW w:w="4366" w:type="dxa"/>
            <w:tcBorders>
              <w:tl2br w:val="nil"/>
              <w:tr2bl w:val="nil"/>
            </w:tcBorders>
            <w:noWrap w:val="0"/>
            <w:vAlign w:val="center"/>
          </w:tcPr>
          <w:p>
            <w:pPr>
              <w:spacing w:line="320" w:lineRule="exact"/>
              <w:jc w:val="left"/>
              <w:rPr>
                <w:rFonts w:hint="eastAsia" w:ascii="仿宋_GB2312" w:hAnsi="仿宋_GB2312" w:eastAsia="仿宋_GB2312" w:cs="仿宋_GB2312"/>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721" w:type="dxa"/>
            <w:vMerge w:val="continue"/>
            <w:tcBorders>
              <w:tl2br w:val="nil"/>
              <w:tr2bl w:val="nil"/>
            </w:tcBorders>
            <w:noWrap w:val="0"/>
            <w:vAlign w:val="center"/>
          </w:tcPr>
          <w:p>
            <w:pPr>
              <w:widowControl/>
              <w:spacing w:line="320" w:lineRule="exact"/>
              <w:jc w:val="center"/>
              <w:rPr>
                <w:rFonts w:hint="eastAsia" w:ascii="仿宋_GB2312" w:hAnsi="仿宋_GB2312" w:eastAsia="仿宋_GB2312" w:cs="仿宋_GB2312"/>
                <w:kern w:val="0"/>
                <w:sz w:val="24"/>
                <w:highlight w:val="none"/>
              </w:rPr>
            </w:pPr>
          </w:p>
        </w:tc>
        <w:tc>
          <w:tcPr>
            <w:tcW w:w="1202" w:type="dxa"/>
            <w:vMerge w:val="continue"/>
            <w:tcBorders>
              <w:tl2br w:val="nil"/>
              <w:tr2bl w:val="nil"/>
            </w:tcBorders>
            <w:noWrap w:val="0"/>
            <w:vAlign w:val="center"/>
          </w:tcPr>
          <w:p>
            <w:pPr>
              <w:widowControl/>
              <w:spacing w:line="320" w:lineRule="exact"/>
              <w:jc w:val="center"/>
              <w:rPr>
                <w:rFonts w:hint="eastAsia" w:ascii="仿宋_GB2312" w:hAnsi="仿宋_GB2312" w:eastAsia="仿宋_GB2312" w:cs="仿宋_GB2312"/>
                <w:kern w:val="0"/>
                <w:sz w:val="24"/>
                <w:highlight w:val="none"/>
              </w:rPr>
            </w:pPr>
          </w:p>
        </w:tc>
        <w:tc>
          <w:tcPr>
            <w:tcW w:w="5595" w:type="dxa"/>
            <w:gridSpan w:val="2"/>
            <w:tcBorders>
              <w:tl2br w:val="nil"/>
              <w:tr2bl w:val="nil"/>
            </w:tcBorders>
            <w:noWrap w:val="0"/>
            <w:vAlign w:val="center"/>
          </w:tcPr>
          <w:p>
            <w:pPr>
              <w:widowControl/>
              <w:spacing w:line="240" w:lineRule="auto"/>
              <w:jc w:val="left"/>
              <w:rPr>
                <w:rFonts w:hint="eastAsia" w:ascii="仿宋_GB2312" w:hAnsi="仿宋_GB2312" w:eastAsia="仿宋_GB2312" w:cs="仿宋_GB2312"/>
                <w:kern w:val="0"/>
                <w:sz w:val="24"/>
                <w:highlight w:val="none"/>
                <w:lang w:eastAsia="zh-CN"/>
              </w:rPr>
            </w:pPr>
            <w:r>
              <w:rPr>
                <w:rFonts w:hint="eastAsia" w:ascii="仿宋_GB2312" w:hAnsi="仿宋_GB2312" w:eastAsia="仿宋_GB2312" w:cs="仿宋_GB2312"/>
                <w:sz w:val="24"/>
                <w:highlight w:val="none"/>
              </w:rPr>
              <w:t>义务教育阶段学科类校外培训收费</w:t>
            </w:r>
          </w:p>
        </w:tc>
        <w:tc>
          <w:tcPr>
            <w:tcW w:w="2415" w:type="dxa"/>
            <w:tcBorders>
              <w:tl2br w:val="nil"/>
              <w:tr2bl w:val="nil"/>
            </w:tcBorders>
            <w:noWrap w:val="0"/>
            <w:vAlign w:val="center"/>
          </w:tcPr>
          <w:p>
            <w:pPr>
              <w:widowControl/>
              <w:spacing w:line="320" w:lineRule="exact"/>
              <w:jc w:val="center"/>
              <w:rPr>
                <w:rFonts w:hint="eastAsia" w:ascii="仿宋_GB2312" w:hAnsi="仿宋_GB2312" w:eastAsia="仿宋_GB2312" w:cs="仿宋_GB2312"/>
                <w:kern w:val="0"/>
                <w:sz w:val="24"/>
                <w:highlight w:val="none"/>
                <w:lang w:eastAsia="zh-CN"/>
              </w:rPr>
            </w:pPr>
            <w:r>
              <w:rPr>
                <w:rFonts w:hint="eastAsia" w:ascii="仿宋_GB2312" w:hAnsi="仿宋_GB2312" w:eastAsia="仿宋_GB2312" w:cs="仿宋_GB2312"/>
                <w:sz w:val="24"/>
                <w:highlight w:val="none"/>
              </w:rPr>
              <w:t>市价格主管部门会同市教育行政部门</w:t>
            </w:r>
          </w:p>
        </w:tc>
        <w:tc>
          <w:tcPr>
            <w:tcW w:w="4366" w:type="dxa"/>
            <w:tcBorders>
              <w:tl2br w:val="nil"/>
              <w:tr2bl w:val="nil"/>
            </w:tcBorders>
            <w:noWrap w:val="0"/>
            <w:vAlign w:val="center"/>
          </w:tcPr>
          <w:p>
            <w:pPr>
              <w:widowControl/>
              <w:spacing w:line="320" w:lineRule="exact"/>
              <w:jc w:val="left"/>
              <w:rPr>
                <w:rFonts w:hint="eastAsia" w:ascii="仿宋_GB2312" w:hAnsi="仿宋_GB2312" w:eastAsia="仿宋_GB2312" w:cs="仿宋_GB2312"/>
                <w:kern w:val="0"/>
                <w:sz w:val="24"/>
                <w:highlight w:val="none"/>
              </w:rPr>
            </w:pPr>
            <w:r>
              <w:rPr>
                <w:rFonts w:hint="eastAsia" w:ascii="仿宋_GB2312" w:hAnsi="仿宋_GB2312" w:eastAsia="仿宋_GB2312" w:cs="仿宋_GB2312"/>
                <w:sz w:val="24"/>
                <w:highlight w:val="none"/>
                <w:lang w:eastAsia="zh-CN"/>
              </w:rPr>
              <w:t>对</w:t>
            </w:r>
            <w:r>
              <w:rPr>
                <w:rFonts w:hint="eastAsia" w:ascii="仿宋_GB2312" w:hAnsi="仿宋_GB2312" w:eastAsia="仿宋_GB2312" w:cs="仿宋_GB2312"/>
                <w:sz w:val="24"/>
                <w:highlight w:val="none"/>
              </w:rPr>
              <w:t>面向普通高中学生的学科类校外培训收费的管理，参照执行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721" w:type="dxa"/>
            <w:tcBorders>
              <w:tl2br w:val="nil"/>
              <w:tr2bl w:val="nil"/>
            </w:tcBorders>
            <w:noWrap w:val="0"/>
            <w:vAlign w:val="center"/>
          </w:tcPr>
          <w:p>
            <w:pPr>
              <w:widowControl/>
              <w:spacing w:line="320" w:lineRule="exact"/>
              <w:jc w:val="center"/>
              <w:rPr>
                <w:rFonts w:hint="eastAsia" w:ascii="仿宋_GB2312" w:hAnsi="仿宋_GB2312" w:eastAsia="仿宋_GB2312" w:cs="仿宋_GB2312"/>
                <w:kern w:val="0"/>
                <w:sz w:val="24"/>
                <w:highlight w:val="none"/>
              </w:rPr>
            </w:pPr>
            <w:r>
              <w:rPr>
                <w:rFonts w:hint="eastAsia" w:ascii="仿宋_GB2312" w:hAnsi="仿宋_GB2312" w:eastAsia="仿宋_GB2312" w:cs="仿宋_GB2312"/>
                <w:kern w:val="0"/>
                <w:sz w:val="24"/>
                <w:highlight w:val="none"/>
              </w:rPr>
              <w:t>8</w:t>
            </w:r>
          </w:p>
        </w:tc>
        <w:tc>
          <w:tcPr>
            <w:tcW w:w="1202" w:type="dxa"/>
            <w:tcBorders>
              <w:tl2br w:val="nil"/>
              <w:tr2bl w:val="nil"/>
            </w:tcBorders>
            <w:noWrap w:val="0"/>
            <w:vAlign w:val="center"/>
          </w:tcPr>
          <w:p>
            <w:pPr>
              <w:widowControl/>
              <w:spacing w:line="320" w:lineRule="exact"/>
              <w:jc w:val="center"/>
              <w:rPr>
                <w:rFonts w:hint="eastAsia" w:ascii="仿宋_GB2312" w:hAnsi="仿宋_GB2312" w:eastAsia="仿宋_GB2312" w:cs="仿宋_GB2312"/>
                <w:kern w:val="0"/>
                <w:sz w:val="24"/>
                <w:highlight w:val="none"/>
              </w:rPr>
            </w:pPr>
            <w:r>
              <w:rPr>
                <w:rFonts w:hint="eastAsia" w:ascii="仿宋_GB2312" w:hAnsi="仿宋_GB2312" w:eastAsia="仿宋_GB2312" w:cs="仿宋_GB2312"/>
                <w:kern w:val="0"/>
                <w:sz w:val="24"/>
                <w:highlight w:val="none"/>
              </w:rPr>
              <w:t>医疗</w:t>
            </w:r>
          </w:p>
          <w:p>
            <w:pPr>
              <w:widowControl/>
              <w:spacing w:line="320" w:lineRule="exact"/>
              <w:jc w:val="center"/>
              <w:rPr>
                <w:rFonts w:hint="eastAsia" w:ascii="仿宋_GB2312" w:hAnsi="仿宋_GB2312" w:eastAsia="仿宋_GB2312" w:cs="仿宋_GB2312"/>
                <w:kern w:val="0"/>
                <w:sz w:val="24"/>
                <w:highlight w:val="none"/>
              </w:rPr>
            </w:pPr>
            <w:r>
              <w:rPr>
                <w:rFonts w:hint="eastAsia" w:ascii="仿宋_GB2312" w:hAnsi="仿宋_GB2312" w:eastAsia="仿宋_GB2312" w:cs="仿宋_GB2312"/>
                <w:kern w:val="0"/>
                <w:sz w:val="24"/>
                <w:highlight w:val="none"/>
              </w:rPr>
              <w:t>服务</w:t>
            </w:r>
          </w:p>
        </w:tc>
        <w:tc>
          <w:tcPr>
            <w:tcW w:w="5595" w:type="dxa"/>
            <w:gridSpan w:val="2"/>
            <w:tcBorders>
              <w:tl2br w:val="nil"/>
              <w:tr2bl w:val="nil"/>
            </w:tcBorders>
            <w:noWrap w:val="0"/>
            <w:vAlign w:val="center"/>
          </w:tcPr>
          <w:p>
            <w:pPr>
              <w:widowControl/>
              <w:spacing w:line="320" w:lineRule="exact"/>
              <w:jc w:val="left"/>
              <w:rPr>
                <w:rFonts w:hint="eastAsia" w:ascii="仿宋_GB2312" w:hAnsi="仿宋_GB2312" w:eastAsia="仿宋_GB2312" w:cs="仿宋_GB2312"/>
                <w:kern w:val="0"/>
                <w:sz w:val="24"/>
                <w:highlight w:val="none"/>
              </w:rPr>
            </w:pPr>
            <w:r>
              <w:rPr>
                <w:rFonts w:hint="eastAsia" w:ascii="仿宋_GB2312" w:hAnsi="仿宋_GB2312" w:eastAsia="仿宋_GB2312" w:cs="仿宋_GB2312"/>
                <w:kern w:val="0"/>
                <w:sz w:val="24"/>
                <w:highlight w:val="none"/>
              </w:rPr>
              <w:t>公立医疗机构提供的基本医疗服务价格</w:t>
            </w:r>
          </w:p>
        </w:tc>
        <w:tc>
          <w:tcPr>
            <w:tcW w:w="2415" w:type="dxa"/>
            <w:tcBorders>
              <w:tl2br w:val="nil"/>
              <w:tr2bl w:val="nil"/>
            </w:tcBorders>
            <w:noWrap w:val="0"/>
            <w:vAlign w:val="center"/>
          </w:tcPr>
          <w:p>
            <w:pPr>
              <w:widowControl/>
              <w:spacing w:line="320" w:lineRule="exact"/>
              <w:jc w:val="center"/>
              <w:rPr>
                <w:rFonts w:hint="eastAsia" w:ascii="仿宋_GB2312" w:hAnsi="仿宋_GB2312" w:eastAsia="仿宋_GB2312" w:cs="仿宋_GB2312"/>
                <w:kern w:val="0"/>
                <w:sz w:val="24"/>
                <w:highlight w:val="none"/>
              </w:rPr>
            </w:pPr>
            <w:r>
              <w:rPr>
                <w:rFonts w:hint="eastAsia" w:ascii="仿宋_GB2312" w:hAnsi="仿宋_GB2312" w:eastAsia="仿宋_GB2312" w:cs="仿宋_GB2312"/>
                <w:kern w:val="0"/>
                <w:sz w:val="24"/>
                <w:highlight w:val="none"/>
              </w:rPr>
              <w:t>市医疗保障部门</w:t>
            </w:r>
          </w:p>
        </w:tc>
        <w:tc>
          <w:tcPr>
            <w:tcW w:w="4366" w:type="dxa"/>
            <w:tcBorders>
              <w:tl2br w:val="nil"/>
              <w:tr2bl w:val="nil"/>
            </w:tcBorders>
            <w:noWrap w:val="0"/>
            <w:vAlign w:val="center"/>
          </w:tcPr>
          <w:p>
            <w:pPr>
              <w:widowControl/>
              <w:spacing w:line="320" w:lineRule="exact"/>
              <w:jc w:val="left"/>
              <w:rPr>
                <w:rFonts w:hint="eastAsia" w:ascii="仿宋_GB2312" w:hAnsi="仿宋_GB2312" w:eastAsia="仿宋_GB2312" w:cs="仿宋_GB2312"/>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721" w:type="dxa"/>
            <w:vMerge w:val="restart"/>
            <w:tcBorders>
              <w:tl2br w:val="nil"/>
              <w:tr2bl w:val="nil"/>
            </w:tcBorders>
            <w:noWrap w:val="0"/>
            <w:vAlign w:val="center"/>
          </w:tcPr>
          <w:p>
            <w:pPr>
              <w:widowControl/>
              <w:spacing w:line="320" w:lineRule="exact"/>
              <w:jc w:val="center"/>
              <w:rPr>
                <w:rFonts w:hint="eastAsia" w:ascii="仿宋_GB2312" w:hAnsi="仿宋_GB2312" w:eastAsia="仿宋_GB2312" w:cs="仿宋_GB2312"/>
                <w:kern w:val="0"/>
                <w:sz w:val="24"/>
                <w:highlight w:val="none"/>
              </w:rPr>
            </w:pPr>
            <w:r>
              <w:rPr>
                <w:rFonts w:hint="eastAsia" w:ascii="仿宋_GB2312" w:hAnsi="仿宋_GB2312" w:eastAsia="仿宋_GB2312" w:cs="仿宋_GB2312"/>
                <w:kern w:val="0"/>
                <w:sz w:val="24"/>
                <w:highlight w:val="none"/>
              </w:rPr>
              <w:t>9</w:t>
            </w:r>
          </w:p>
        </w:tc>
        <w:tc>
          <w:tcPr>
            <w:tcW w:w="1202" w:type="dxa"/>
            <w:vMerge w:val="restart"/>
            <w:tcBorders>
              <w:tl2br w:val="nil"/>
              <w:tr2bl w:val="nil"/>
            </w:tcBorders>
            <w:noWrap w:val="0"/>
            <w:vAlign w:val="center"/>
          </w:tcPr>
          <w:p>
            <w:pPr>
              <w:widowControl/>
              <w:spacing w:line="320" w:lineRule="exact"/>
              <w:jc w:val="center"/>
              <w:rPr>
                <w:rFonts w:hint="eastAsia" w:ascii="仿宋_GB2312" w:hAnsi="仿宋_GB2312" w:eastAsia="仿宋_GB2312" w:cs="仿宋_GB2312"/>
                <w:kern w:val="0"/>
                <w:sz w:val="24"/>
                <w:highlight w:val="none"/>
              </w:rPr>
            </w:pPr>
            <w:r>
              <w:rPr>
                <w:rFonts w:hint="eastAsia" w:ascii="仿宋_GB2312" w:hAnsi="仿宋_GB2312" w:eastAsia="仿宋_GB2312" w:cs="仿宋_GB2312"/>
                <w:kern w:val="0"/>
                <w:sz w:val="24"/>
                <w:highlight w:val="none"/>
              </w:rPr>
              <w:t>环境</w:t>
            </w:r>
          </w:p>
          <w:p>
            <w:pPr>
              <w:widowControl/>
              <w:spacing w:line="320" w:lineRule="exact"/>
              <w:jc w:val="center"/>
              <w:rPr>
                <w:rFonts w:hint="eastAsia" w:ascii="仿宋_GB2312" w:hAnsi="仿宋_GB2312" w:eastAsia="仿宋_GB2312" w:cs="仿宋_GB2312"/>
                <w:kern w:val="0"/>
                <w:sz w:val="24"/>
                <w:highlight w:val="none"/>
              </w:rPr>
            </w:pPr>
            <w:r>
              <w:rPr>
                <w:rFonts w:hint="eastAsia" w:ascii="仿宋_GB2312" w:hAnsi="仿宋_GB2312" w:eastAsia="仿宋_GB2312" w:cs="仿宋_GB2312"/>
                <w:kern w:val="0"/>
                <w:sz w:val="24"/>
                <w:highlight w:val="none"/>
              </w:rPr>
              <w:t>保护</w:t>
            </w:r>
          </w:p>
        </w:tc>
        <w:tc>
          <w:tcPr>
            <w:tcW w:w="5595" w:type="dxa"/>
            <w:gridSpan w:val="2"/>
            <w:tcBorders>
              <w:tl2br w:val="nil"/>
              <w:tr2bl w:val="nil"/>
            </w:tcBorders>
            <w:noWrap w:val="0"/>
            <w:vAlign w:val="center"/>
          </w:tcPr>
          <w:p>
            <w:pPr>
              <w:widowControl/>
              <w:spacing w:line="320" w:lineRule="exact"/>
              <w:jc w:val="left"/>
              <w:rPr>
                <w:rFonts w:hint="eastAsia" w:ascii="仿宋_GB2312" w:hAnsi="仿宋_GB2312" w:eastAsia="仿宋_GB2312" w:cs="仿宋_GB2312"/>
                <w:spacing w:val="-10"/>
                <w:kern w:val="0"/>
                <w:sz w:val="24"/>
                <w:szCs w:val="24"/>
                <w:highlight w:val="none"/>
                <w:lang w:val="en-US" w:eastAsia="zh-CN" w:bidi="ar-SA"/>
              </w:rPr>
            </w:pPr>
            <w:r>
              <w:rPr>
                <w:rFonts w:hint="eastAsia" w:ascii="仿宋_GB2312" w:hAnsi="仿宋_GB2312" w:eastAsia="仿宋_GB2312" w:cs="仿宋_GB2312"/>
                <w:spacing w:val="-10"/>
                <w:kern w:val="0"/>
                <w:sz w:val="24"/>
                <w:highlight w:val="none"/>
                <w:lang w:eastAsia="zh-CN"/>
              </w:rPr>
              <w:t>污水处理费</w:t>
            </w:r>
          </w:p>
        </w:tc>
        <w:tc>
          <w:tcPr>
            <w:tcW w:w="2415" w:type="dxa"/>
            <w:tcBorders>
              <w:tl2br w:val="nil"/>
              <w:tr2bl w:val="nil"/>
            </w:tcBorders>
            <w:noWrap w:val="0"/>
            <w:vAlign w:val="center"/>
          </w:tcPr>
          <w:p>
            <w:pPr>
              <w:widowControl/>
              <w:spacing w:line="320" w:lineRule="exact"/>
              <w:jc w:val="center"/>
              <w:rPr>
                <w:rFonts w:hint="eastAsia" w:ascii="仿宋_GB2312" w:hAnsi="Calibri" w:eastAsia="仿宋_GB2312"/>
                <w:bCs/>
                <w:kern w:val="2"/>
                <w:sz w:val="24"/>
                <w:szCs w:val="24"/>
                <w:highlight w:val="none"/>
                <w:lang w:val="en-US" w:eastAsia="zh-CN" w:bidi="ar-SA"/>
              </w:rPr>
            </w:pPr>
            <w:r>
              <w:rPr>
                <w:rFonts w:hint="eastAsia" w:ascii="仿宋_GB2312" w:eastAsia="仿宋_GB2312"/>
                <w:bCs/>
                <w:sz w:val="24"/>
                <w:highlight w:val="none"/>
                <w:lang w:val="en-US" w:eastAsia="zh-CN"/>
              </w:rPr>
              <w:t>市价格主管部门</w:t>
            </w:r>
          </w:p>
        </w:tc>
        <w:tc>
          <w:tcPr>
            <w:tcW w:w="4366" w:type="dxa"/>
            <w:tcBorders>
              <w:tl2br w:val="nil"/>
              <w:tr2bl w:val="nil"/>
            </w:tcBorders>
            <w:noWrap w:val="0"/>
            <w:vAlign w:val="center"/>
          </w:tcPr>
          <w:p>
            <w:pPr>
              <w:widowControl/>
              <w:spacing w:line="320" w:lineRule="exact"/>
              <w:jc w:val="left"/>
              <w:rPr>
                <w:rFonts w:hint="eastAsia" w:ascii="仿宋_GB2312" w:hAnsi="仿宋_GB2312" w:eastAsia="仿宋_GB2312" w:cs="仿宋_GB2312"/>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721" w:type="dxa"/>
            <w:vMerge w:val="continue"/>
            <w:tcBorders>
              <w:tl2br w:val="nil"/>
              <w:tr2bl w:val="nil"/>
            </w:tcBorders>
            <w:noWrap w:val="0"/>
            <w:vAlign w:val="center"/>
          </w:tcPr>
          <w:p>
            <w:pPr>
              <w:widowControl/>
              <w:spacing w:line="320" w:lineRule="exact"/>
              <w:jc w:val="center"/>
              <w:rPr>
                <w:rFonts w:hint="eastAsia" w:ascii="仿宋_GB2312" w:hAnsi="仿宋_GB2312" w:eastAsia="仿宋_GB2312" w:cs="仿宋_GB2312"/>
                <w:kern w:val="0"/>
                <w:sz w:val="24"/>
                <w:highlight w:val="none"/>
              </w:rPr>
            </w:pPr>
          </w:p>
        </w:tc>
        <w:tc>
          <w:tcPr>
            <w:tcW w:w="1202" w:type="dxa"/>
            <w:vMerge w:val="continue"/>
            <w:tcBorders>
              <w:tl2br w:val="nil"/>
              <w:tr2bl w:val="nil"/>
            </w:tcBorders>
            <w:noWrap w:val="0"/>
            <w:vAlign w:val="center"/>
          </w:tcPr>
          <w:p>
            <w:pPr>
              <w:widowControl/>
              <w:spacing w:line="320" w:lineRule="exact"/>
              <w:jc w:val="center"/>
              <w:rPr>
                <w:rFonts w:hint="eastAsia" w:ascii="仿宋_GB2312" w:hAnsi="仿宋_GB2312" w:eastAsia="仿宋_GB2312" w:cs="仿宋_GB2312"/>
                <w:kern w:val="0"/>
                <w:sz w:val="24"/>
                <w:highlight w:val="none"/>
              </w:rPr>
            </w:pPr>
          </w:p>
        </w:tc>
        <w:tc>
          <w:tcPr>
            <w:tcW w:w="5595" w:type="dxa"/>
            <w:gridSpan w:val="2"/>
            <w:tcBorders>
              <w:tl2br w:val="nil"/>
              <w:tr2bl w:val="nil"/>
            </w:tcBorders>
            <w:noWrap w:val="0"/>
            <w:vAlign w:val="center"/>
          </w:tcPr>
          <w:p>
            <w:pPr>
              <w:widowControl/>
              <w:spacing w:line="320" w:lineRule="exact"/>
              <w:jc w:val="left"/>
              <w:rPr>
                <w:rFonts w:hint="eastAsia" w:ascii="仿宋_GB2312" w:hAnsi="仿宋_GB2312" w:eastAsia="仿宋_GB2312" w:cs="仿宋_GB2312"/>
                <w:kern w:val="0"/>
                <w:sz w:val="24"/>
                <w:highlight w:val="none"/>
              </w:rPr>
            </w:pPr>
            <w:r>
              <w:rPr>
                <w:rFonts w:hint="eastAsia" w:ascii="仿宋_GB2312" w:hAnsi="仿宋_GB2312" w:eastAsia="仿宋_GB2312" w:cs="仿宋_GB2312"/>
                <w:sz w:val="24"/>
                <w:highlight w:val="none"/>
              </w:rPr>
              <w:t>生活垃圾处理收费</w:t>
            </w:r>
          </w:p>
        </w:tc>
        <w:tc>
          <w:tcPr>
            <w:tcW w:w="2415" w:type="dxa"/>
            <w:tcBorders>
              <w:tl2br w:val="nil"/>
              <w:tr2bl w:val="nil"/>
            </w:tcBorders>
            <w:noWrap w:val="0"/>
            <w:vAlign w:val="center"/>
          </w:tcPr>
          <w:p>
            <w:pPr>
              <w:widowControl/>
              <w:spacing w:line="320" w:lineRule="exact"/>
              <w:jc w:val="center"/>
              <w:rPr>
                <w:rFonts w:hint="eastAsia" w:ascii="仿宋_GB2312" w:hAnsi="仿宋_GB2312" w:eastAsia="仿宋_GB2312" w:cs="仿宋_GB2312"/>
                <w:kern w:val="0"/>
                <w:sz w:val="24"/>
                <w:highlight w:val="none"/>
              </w:rPr>
            </w:pPr>
            <w:r>
              <w:rPr>
                <w:rFonts w:hint="eastAsia" w:ascii="仿宋_GB2312" w:eastAsia="仿宋_GB2312"/>
                <w:bCs/>
                <w:sz w:val="24"/>
                <w:highlight w:val="none"/>
              </w:rPr>
              <w:t>市价格主管部门会同市城市管理部门、市财政部门</w:t>
            </w:r>
          </w:p>
        </w:tc>
        <w:tc>
          <w:tcPr>
            <w:tcW w:w="4366" w:type="dxa"/>
            <w:tcBorders>
              <w:tl2br w:val="nil"/>
              <w:tr2bl w:val="nil"/>
            </w:tcBorders>
            <w:noWrap w:val="0"/>
            <w:vAlign w:val="center"/>
          </w:tcPr>
          <w:p>
            <w:pPr>
              <w:widowControl/>
              <w:spacing w:line="320" w:lineRule="exact"/>
              <w:jc w:val="left"/>
              <w:rPr>
                <w:rFonts w:hint="eastAsia" w:ascii="仿宋_GB2312" w:hAnsi="仿宋_GB2312" w:eastAsia="仿宋_GB2312" w:cs="仿宋_GB2312"/>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721" w:type="dxa"/>
            <w:vMerge w:val="continue"/>
            <w:tcBorders>
              <w:tl2br w:val="nil"/>
              <w:tr2bl w:val="nil"/>
            </w:tcBorders>
            <w:noWrap w:val="0"/>
            <w:vAlign w:val="center"/>
          </w:tcPr>
          <w:p>
            <w:pPr>
              <w:widowControl/>
              <w:spacing w:line="320" w:lineRule="exact"/>
              <w:jc w:val="center"/>
              <w:rPr>
                <w:rFonts w:hint="eastAsia" w:ascii="仿宋_GB2312" w:hAnsi="仿宋_GB2312" w:eastAsia="仿宋_GB2312" w:cs="仿宋_GB2312"/>
                <w:kern w:val="0"/>
                <w:sz w:val="24"/>
                <w:highlight w:val="none"/>
              </w:rPr>
            </w:pPr>
          </w:p>
        </w:tc>
        <w:tc>
          <w:tcPr>
            <w:tcW w:w="1202" w:type="dxa"/>
            <w:vMerge w:val="continue"/>
            <w:tcBorders>
              <w:tl2br w:val="nil"/>
              <w:tr2bl w:val="nil"/>
            </w:tcBorders>
            <w:noWrap w:val="0"/>
            <w:vAlign w:val="center"/>
          </w:tcPr>
          <w:p>
            <w:pPr>
              <w:widowControl/>
              <w:spacing w:line="320" w:lineRule="exact"/>
              <w:jc w:val="center"/>
              <w:rPr>
                <w:rFonts w:hint="eastAsia" w:ascii="仿宋_GB2312" w:hAnsi="仿宋_GB2312" w:eastAsia="仿宋_GB2312" w:cs="仿宋_GB2312"/>
                <w:kern w:val="0"/>
                <w:sz w:val="24"/>
                <w:highlight w:val="none"/>
              </w:rPr>
            </w:pPr>
          </w:p>
        </w:tc>
        <w:tc>
          <w:tcPr>
            <w:tcW w:w="5595" w:type="dxa"/>
            <w:gridSpan w:val="2"/>
            <w:tcBorders>
              <w:tl2br w:val="nil"/>
              <w:tr2bl w:val="nil"/>
            </w:tcBorders>
            <w:noWrap w:val="0"/>
            <w:vAlign w:val="center"/>
          </w:tcPr>
          <w:p>
            <w:pPr>
              <w:widowControl/>
              <w:spacing w:line="320" w:lineRule="exact"/>
              <w:jc w:val="left"/>
              <w:rPr>
                <w:rFonts w:hint="eastAsia" w:ascii="仿宋_GB2312" w:hAnsi="仿宋_GB2312" w:eastAsia="仿宋_GB2312" w:cs="仿宋_GB2312"/>
                <w:sz w:val="24"/>
                <w:highlight w:val="none"/>
              </w:rPr>
            </w:pPr>
            <w:r>
              <w:rPr>
                <w:rFonts w:hint="eastAsia" w:ascii="仿宋_GB2312" w:hAnsi="仿宋_GB2312" w:eastAsia="仿宋_GB2312" w:cs="仿宋_GB2312"/>
                <w:spacing w:val="-10"/>
                <w:kern w:val="0"/>
                <w:sz w:val="24"/>
                <w:highlight w:val="none"/>
              </w:rPr>
              <w:t>医疗废物处置收费</w:t>
            </w:r>
          </w:p>
        </w:tc>
        <w:tc>
          <w:tcPr>
            <w:tcW w:w="2415" w:type="dxa"/>
            <w:tcBorders>
              <w:tl2br w:val="nil"/>
              <w:tr2bl w:val="nil"/>
            </w:tcBorders>
            <w:noWrap w:val="0"/>
            <w:vAlign w:val="center"/>
          </w:tcPr>
          <w:p>
            <w:pPr>
              <w:widowControl/>
              <w:spacing w:line="320" w:lineRule="exact"/>
              <w:jc w:val="center"/>
              <w:rPr>
                <w:rFonts w:hint="eastAsia" w:ascii="仿宋_GB2312" w:eastAsia="仿宋_GB2312"/>
                <w:bCs/>
                <w:sz w:val="24"/>
                <w:highlight w:val="none"/>
                <w:lang w:val="en-US" w:eastAsia="zh-CN"/>
              </w:rPr>
            </w:pPr>
            <w:r>
              <w:rPr>
                <w:rFonts w:hint="eastAsia" w:ascii="仿宋_GB2312" w:eastAsia="仿宋_GB2312"/>
                <w:bCs/>
                <w:sz w:val="24"/>
                <w:highlight w:val="none"/>
                <w:lang w:val="en-US" w:eastAsia="zh-CN"/>
              </w:rPr>
              <w:t>市价格主管部门会同市生态环境部门、市卫生健康部门</w:t>
            </w:r>
          </w:p>
        </w:tc>
        <w:tc>
          <w:tcPr>
            <w:tcW w:w="4366" w:type="dxa"/>
            <w:tcBorders>
              <w:tl2br w:val="nil"/>
              <w:tr2bl w:val="nil"/>
            </w:tcBorders>
            <w:noWrap w:val="0"/>
            <w:vAlign w:val="center"/>
          </w:tcPr>
          <w:p>
            <w:pPr>
              <w:widowControl/>
              <w:spacing w:line="320" w:lineRule="exact"/>
              <w:jc w:val="left"/>
              <w:rPr>
                <w:rFonts w:hint="eastAsia" w:ascii="仿宋_GB2312" w:hAnsi="仿宋_GB2312" w:eastAsia="仿宋_GB2312" w:cs="仿宋_GB2312"/>
                <w:kern w:val="0"/>
                <w:sz w:val="24"/>
                <w:highlight w:val="none"/>
              </w:rPr>
            </w:pPr>
            <w:r>
              <w:rPr>
                <w:rFonts w:hint="eastAsia" w:ascii="仿宋_GB2312" w:hAnsi="仿宋_GB2312" w:eastAsia="仿宋_GB2312" w:cs="仿宋_GB2312"/>
                <w:spacing w:val="-10"/>
                <w:kern w:val="0"/>
                <w:sz w:val="24"/>
                <w:highlight w:val="none"/>
              </w:rPr>
              <w:t>定价范围仅包括医疗废物处置环节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1" w:type="dxa"/>
            <w:vMerge w:val="restart"/>
            <w:tcBorders>
              <w:tl2br w:val="nil"/>
              <w:tr2bl w:val="nil"/>
            </w:tcBorders>
            <w:noWrap w:val="0"/>
            <w:vAlign w:val="center"/>
          </w:tcPr>
          <w:p>
            <w:pPr>
              <w:spacing w:line="320" w:lineRule="exact"/>
              <w:jc w:val="center"/>
              <w:rPr>
                <w:rFonts w:hint="eastAsia" w:ascii="仿宋_GB2312" w:hAnsi="仿宋_GB2312" w:eastAsia="仿宋_GB2312" w:cs="仿宋_GB2312"/>
                <w:kern w:val="0"/>
                <w:sz w:val="24"/>
                <w:highlight w:val="none"/>
              </w:rPr>
            </w:pPr>
            <w:r>
              <w:rPr>
                <w:rFonts w:hint="eastAsia" w:ascii="仿宋_GB2312" w:hAnsi="仿宋_GB2312" w:eastAsia="仿宋_GB2312" w:cs="仿宋_GB2312"/>
                <w:kern w:val="0"/>
                <w:sz w:val="24"/>
                <w:highlight w:val="none"/>
              </w:rPr>
              <w:t>10</w:t>
            </w:r>
          </w:p>
        </w:tc>
        <w:tc>
          <w:tcPr>
            <w:tcW w:w="1202" w:type="dxa"/>
            <w:vMerge w:val="restart"/>
            <w:tcBorders>
              <w:tl2br w:val="nil"/>
              <w:tr2bl w:val="nil"/>
            </w:tcBorders>
            <w:noWrap w:val="0"/>
            <w:vAlign w:val="center"/>
          </w:tcPr>
          <w:p>
            <w:pPr>
              <w:widowControl/>
              <w:spacing w:line="320" w:lineRule="exact"/>
              <w:jc w:val="center"/>
              <w:rPr>
                <w:rFonts w:hint="eastAsia" w:ascii="仿宋_GB2312" w:hAnsi="仿宋_GB2312" w:eastAsia="仿宋_GB2312" w:cs="仿宋_GB2312"/>
                <w:kern w:val="0"/>
                <w:sz w:val="24"/>
                <w:highlight w:val="none"/>
              </w:rPr>
            </w:pPr>
            <w:r>
              <w:rPr>
                <w:rFonts w:hint="eastAsia" w:ascii="仿宋_GB2312" w:hAnsi="仿宋_GB2312" w:eastAsia="仿宋_GB2312" w:cs="仿宋_GB2312"/>
                <w:kern w:val="0"/>
                <w:sz w:val="24"/>
                <w:highlight w:val="none"/>
              </w:rPr>
              <w:t>文化</w:t>
            </w:r>
          </w:p>
          <w:p>
            <w:pPr>
              <w:spacing w:line="320" w:lineRule="exact"/>
              <w:jc w:val="center"/>
              <w:rPr>
                <w:rFonts w:hint="eastAsia" w:ascii="仿宋_GB2312" w:hAnsi="仿宋_GB2312" w:eastAsia="仿宋_GB2312" w:cs="仿宋_GB2312"/>
                <w:kern w:val="0"/>
                <w:sz w:val="24"/>
                <w:highlight w:val="none"/>
              </w:rPr>
            </w:pPr>
            <w:r>
              <w:rPr>
                <w:rFonts w:hint="eastAsia" w:ascii="仿宋_GB2312" w:hAnsi="仿宋_GB2312" w:eastAsia="仿宋_GB2312" w:cs="仿宋_GB2312"/>
                <w:kern w:val="0"/>
                <w:sz w:val="24"/>
                <w:highlight w:val="none"/>
              </w:rPr>
              <w:t>旅游</w:t>
            </w:r>
          </w:p>
        </w:tc>
        <w:tc>
          <w:tcPr>
            <w:tcW w:w="5595" w:type="dxa"/>
            <w:gridSpan w:val="2"/>
            <w:tcBorders>
              <w:tl2br w:val="nil"/>
              <w:tr2bl w:val="nil"/>
            </w:tcBorders>
            <w:noWrap w:val="0"/>
            <w:vAlign w:val="center"/>
          </w:tcPr>
          <w:p>
            <w:pPr>
              <w:widowControl/>
              <w:spacing w:line="320" w:lineRule="exact"/>
              <w:jc w:val="left"/>
              <w:rPr>
                <w:rFonts w:hint="eastAsia" w:ascii="仿宋_GB2312" w:hAnsi="仿宋_GB2312" w:eastAsia="仿宋_GB2312" w:cs="仿宋_GB2312"/>
                <w:kern w:val="0"/>
                <w:sz w:val="24"/>
                <w:highlight w:val="none"/>
              </w:rPr>
            </w:pPr>
            <w:r>
              <w:rPr>
                <w:rFonts w:hint="eastAsia" w:ascii="仿宋_GB2312" w:hAnsi="仿宋_GB2312" w:eastAsia="仿宋_GB2312" w:cs="仿宋_GB2312"/>
                <w:kern w:val="0"/>
                <w:sz w:val="24"/>
                <w:highlight w:val="none"/>
              </w:rPr>
              <w:t>有线电视基本收视维护费</w:t>
            </w:r>
          </w:p>
        </w:tc>
        <w:tc>
          <w:tcPr>
            <w:tcW w:w="2415" w:type="dxa"/>
            <w:tcBorders>
              <w:tl2br w:val="nil"/>
              <w:tr2bl w:val="nil"/>
            </w:tcBorders>
            <w:noWrap w:val="0"/>
            <w:vAlign w:val="center"/>
          </w:tcPr>
          <w:p>
            <w:pPr>
              <w:widowControl/>
              <w:spacing w:line="320" w:lineRule="exact"/>
              <w:jc w:val="center"/>
              <w:rPr>
                <w:rFonts w:hint="eastAsia" w:ascii="仿宋_GB2312" w:hAnsi="仿宋_GB2312" w:eastAsia="仿宋_GB2312" w:cs="仿宋_GB2312"/>
                <w:kern w:val="0"/>
                <w:sz w:val="24"/>
                <w:highlight w:val="none"/>
              </w:rPr>
            </w:pPr>
            <w:r>
              <w:rPr>
                <w:rFonts w:hint="eastAsia" w:ascii="仿宋_GB2312" w:hAnsi="仿宋_GB2312" w:eastAsia="仿宋_GB2312" w:cs="仿宋_GB2312"/>
                <w:kern w:val="0"/>
                <w:sz w:val="24"/>
                <w:highlight w:val="none"/>
              </w:rPr>
              <w:t>市价格主管部门</w:t>
            </w:r>
          </w:p>
        </w:tc>
        <w:tc>
          <w:tcPr>
            <w:tcW w:w="4366" w:type="dxa"/>
            <w:tcBorders>
              <w:tl2br w:val="nil"/>
              <w:tr2bl w:val="nil"/>
            </w:tcBorders>
            <w:noWrap w:val="0"/>
            <w:vAlign w:val="center"/>
          </w:tcPr>
          <w:p>
            <w:pPr>
              <w:widowControl/>
              <w:spacing w:line="320" w:lineRule="exact"/>
              <w:jc w:val="left"/>
              <w:rPr>
                <w:rFonts w:hint="eastAsia" w:ascii="仿宋_GB2312" w:hAnsi="仿宋_GB2312" w:eastAsia="仿宋_GB2312" w:cs="仿宋_GB2312"/>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jc w:val="center"/>
        </w:trPr>
        <w:tc>
          <w:tcPr>
            <w:tcW w:w="721" w:type="dxa"/>
            <w:vMerge w:val="continue"/>
            <w:tcBorders>
              <w:tl2br w:val="nil"/>
              <w:tr2bl w:val="nil"/>
            </w:tcBorders>
            <w:noWrap w:val="0"/>
            <w:vAlign w:val="center"/>
          </w:tcPr>
          <w:p>
            <w:pPr>
              <w:widowControl/>
              <w:spacing w:line="320" w:lineRule="exact"/>
              <w:jc w:val="center"/>
              <w:rPr>
                <w:rFonts w:hint="eastAsia" w:ascii="仿宋_GB2312" w:hAnsi="仿宋_GB2312" w:eastAsia="仿宋_GB2312" w:cs="仿宋_GB2312"/>
                <w:kern w:val="0"/>
                <w:sz w:val="24"/>
                <w:highlight w:val="none"/>
              </w:rPr>
            </w:pPr>
          </w:p>
        </w:tc>
        <w:tc>
          <w:tcPr>
            <w:tcW w:w="1202" w:type="dxa"/>
            <w:vMerge w:val="continue"/>
            <w:tcBorders>
              <w:tl2br w:val="nil"/>
              <w:tr2bl w:val="nil"/>
            </w:tcBorders>
            <w:noWrap w:val="0"/>
            <w:vAlign w:val="center"/>
          </w:tcPr>
          <w:p>
            <w:pPr>
              <w:widowControl/>
              <w:spacing w:line="320" w:lineRule="exact"/>
              <w:jc w:val="center"/>
              <w:rPr>
                <w:rFonts w:hint="eastAsia" w:ascii="仿宋_GB2312" w:hAnsi="仿宋_GB2312" w:eastAsia="仿宋_GB2312" w:cs="仿宋_GB2312"/>
                <w:kern w:val="0"/>
                <w:sz w:val="24"/>
                <w:highlight w:val="none"/>
              </w:rPr>
            </w:pPr>
          </w:p>
        </w:tc>
        <w:tc>
          <w:tcPr>
            <w:tcW w:w="5595" w:type="dxa"/>
            <w:gridSpan w:val="2"/>
            <w:vMerge w:val="restart"/>
            <w:tcBorders>
              <w:tl2br w:val="nil"/>
              <w:tr2bl w:val="nil"/>
            </w:tcBorders>
            <w:noWrap w:val="0"/>
            <w:vAlign w:val="center"/>
          </w:tcPr>
          <w:p>
            <w:pPr>
              <w:widowControl/>
              <w:spacing w:line="320" w:lineRule="exact"/>
              <w:jc w:val="left"/>
              <w:rPr>
                <w:rFonts w:hint="eastAsia" w:ascii="仿宋_GB2312" w:hAnsi="仿宋_GB2312" w:eastAsia="仿宋_GB2312" w:cs="仿宋_GB2312"/>
                <w:kern w:val="0"/>
                <w:sz w:val="24"/>
                <w:highlight w:val="none"/>
              </w:rPr>
            </w:pPr>
            <w:r>
              <w:rPr>
                <w:rFonts w:hint="eastAsia" w:ascii="仿宋_GB2312" w:hAnsi="仿宋_GB2312" w:eastAsia="仿宋_GB2312" w:cs="仿宋_GB2312"/>
                <w:kern w:val="0"/>
                <w:sz w:val="24"/>
                <w:highlight w:val="none"/>
              </w:rPr>
              <w:t>利用公共资源建设的景区门票价格以及景区内的游览场所、交通</w:t>
            </w:r>
            <w:r>
              <w:rPr>
                <w:rFonts w:hint="eastAsia" w:ascii="仿宋_GB2312" w:hAnsi="仿宋_GB2312" w:eastAsia="仿宋_GB2312" w:cs="仿宋_GB2312"/>
                <w:kern w:val="0"/>
                <w:sz w:val="24"/>
                <w:highlight w:val="none"/>
                <w:lang w:eastAsia="zh-CN"/>
              </w:rPr>
              <w:t>运输服务价格</w:t>
            </w:r>
          </w:p>
        </w:tc>
        <w:tc>
          <w:tcPr>
            <w:tcW w:w="2415" w:type="dxa"/>
            <w:vMerge w:val="restart"/>
            <w:tcBorders>
              <w:tl2br w:val="nil"/>
              <w:tr2bl w:val="nil"/>
            </w:tcBorders>
            <w:noWrap w:val="0"/>
            <w:vAlign w:val="center"/>
          </w:tcPr>
          <w:p>
            <w:pPr>
              <w:widowControl/>
              <w:spacing w:line="320" w:lineRule="exact"/>
              <w:jc w:val="center"/>
              <w:rPr>
                <w:rFonts w:hint="eastAsia" w:ascii="仿宋_GB2312" w:hAnsi="仿宋_GB2312" w:eastAsia="仿宋_GB2312" w:cs="仿宋_GB2312"/>
                <w:kern w:val="0"/>
                <w:sz w:val="24"/>
                <w:highlight w:val="none"/>
              </w:rPr>
            </w:pPr>
            <w:r>
              <w:rPr>
                <w:rFonts w:hint="eastAsia" w:ascii="仿宋_GB2312" w:hAnsi="仿宋_GB2312" w:eastAsia="仿宋_GB2312" w:cs="仿宋_GB2312"/>
                <w:kern w:val="0"/>
                <w:sz w:val="24"/>
                <w:highlight w:val="none"/>
              </w:rPr>
              <w:t>市价格主管部门</w:t>
            </w:r>
          </w:p>
        </w:tc>
        <w:tc>
          <w:tcPr>
            <w:tcW w:w="4366" w:type="dxa"/>
            <w:tcBorders>
              <w:tl2br w:val="nil"/>
              <w:tr2bl w:val="nil"/>
            </w:tcBorders>
            <w:noWrap w:val="0"/>
            <w:vAlign w:val="center"/>
          </w:tcPr>
          <w:p>
            <w:pPr>
              <w:widowControl/>
              <w:spacing w:line="320" w:lineRule="exact"/>
              <w:jc w:val="left"/>
              <w:rPr>
                <w:rFonts w:hint="eastAsia" w:ascii="仿宋_GB2312" w:hAnsi="仿宋_GB2312" w:eastAsia="仿宋_GB2312" w:cs="仿宋_GB2312"/>
                <w:spacing w:val="-10"/>
                <w:kern w:val="0"/>
                <w:sz w:val="24"/>
                <w:highlight w:val="none"/>
                <w:lang w:eastAsia="zh-CN"/>
              </w:rPr>
            </w:pPr>
            <w:r>
              <w:rPr>
                <w:rFonts w:hint="eastAsia" w:ascii="仿宋_GB2312" w:hAnsi="仿宋_GB2312" w:eastAsia="仿宋_GB2312" w:cs="仿宋_GB2312"/>
                <w:spacing w:val="-10"/>
                <w:kern w:val="0"/>
                <w:sz w:val="24"/>
                <w:highlight w:val="none"/>
              </w:rPr>
              <w:t>定价范围包括故宫、十三陵、八达岭长城、颐和园、天坛公园、北京植物园、北京动物园、香山公园、北海公园、景山公园、陶然亭公园、玉渊潭公园、中山公园</w:t>
            </w:r>
            <w:r>
              <w:rPr>
                <w:rFonts w:hint="eastAsia" w:ascii="仿宋_GB2312" w:hAnsi="仿宋_GB2312" w:eastAsia="仿宋_GB2312" w:cs="仿宋_GB2312"/>
                <w:spacing w:val="-10"/>
                <w:kern w:val="0"/>
                <w:sz w:val="24"/>
                <w:highlight w:val="none"/>
                <w:lang w:eastAsia="zh-CN"/>
              </w:rPr>
              <w:t>；</w:t>
            </w:r>
          </w:p>
          <w:p>
            <w:pPr>
              <w:widowControl/>
              <w:spacing w:line="320" w:lineRule="exact"/>
              <w:jc w:val="left"/>
              <w:rPr>
                <w:rFonts w:hint="eastAsia" w:ascii="仿宋_GB2312" w:hAnsi="仿宋_GB2312" w:eastAsia="仿宋_GB2312" w:cs="仿宋_GB2312"/>
                <w:spacing w:val="-10"/>
                <w:kern w:val="0"/>
                <w:sz w:val="24"/>
                <w:highlight w:val="none"/>
                <w:lang w:val="en-US" w:eastAsia="zh-CN"/>
              </w:rPr>
            </w:pPr>
            <w:r>
              <w:rPr>
                <w:rFonts w:hint="eastAsia" w:ascii="仿宋_GB2312" w:hAnsi="仿宋_GB2312" w:eastAsia="仿宋_GB2312" w:cs="仿宋_GB2312"/>
                <w:spacing w:val="-10"/>
                <w:kern w:val="0"/>
                <w:sz w:val="24"/>
                <w:highlight w:val="none"/>
                <w:lang w:eastAsia="zh-CN"/>
              </w:rPr>
              <w:t>形成竞争的交通运输服务除外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0" w:hRule="atLeast"/>
          <w:jc w:val="center"/>
        </w:trPr>
        <w:tc>
          <w:tcPr>
            <w:tcW w:w="721" w:type="dxa"/>
            <w:vMerge w:val="continue"/>
            <w:tcBorders>
              <w:tl2br w:val="nil"/>
              <w:tr2bl w:val="nil"/>
            </w:tcBorders>
            <w:noWrap w:val="0"/>
            <w:vAlign w:val="center"/>
          </w:tcPr>
          <w:p>
            <w:pPr>
              <w:widowControl/>
              <w:spacing w:line="320" w:lineRule="exact"/>
              <w:jc w:val="center"/>
              <w:rPr>
                <w:rFonts w:hint="eastAsia" w:ascii="仿宋_GB2312" w:hAnsi="仿宋_GB2312" w:eastAsia="仿宋_GB2312" w:cs="仿宋_GB2312"/>
                <w:kern w:val="0"/>
                <w:sz w:val="24"/>
                <w:highlight w:val="none"/>
              </w:rPr>
            </w:pPr>
          </w:p>
        </w:tc>
        <w:tc>
          <w:tcPr>
            <w:tcW w:w="1202" w:type="dxa"/>
            <w:vMerge w:val="continue"/>
            <w:tcBorders>
              <w:tl2br w:val="nil"/>
              <w:tr2bl w:val="nil"/>
            </w:tcBorders>
            <w:noWrap w:val="0"/>
            <w:vAlign w:val="center"/>
          </w:tcPr>
          <w:p>
            <w:pPr>
              <w:widowControl/>
              <w:spacing w:line="320" w:lineRule="exact"/>
              <w:jc w:val="center"/>
              <w:rPr>
                <w:rFonts w:hint="eastAsia" w:ascii="仿宋_GB2312" w:hAnsi="仿宋_GB2312" w:eastAsia="仿宋_GB2312" w:cs="仿宋_GB2312"/>
                <w:kern w:val="0"/>
                <w:sz w:val="24"/>
                <w:highlight w:val="none"/>
              </w:rPr>
            </w:pPr>
          </w:p>
        </w:tc>
        <w:tc>
          <w:tcPr>
            <w:tcW w:w="5595" w:type="dxa"/>
            <w:gridSpan w:val="2"/>
            <w:tcBorders>
              <w:tl2br w:val="nil"/>
              <w:tr2bl w:val="nil"/>
            </w:tcBorders>
            <w:noWrap w:val="0"/>
            <w:vAlign w:val="center"/>
          </w:tcPr>
          <w:p>
            <w:pPr>
              <w:widowControl/>
              <w:spacing w:line="320" w:lineRule="exact"/>
              <w:jc w:val="left"/>
              <w:rPr>
                <w:rFonts w:hint="eastAsia" w:ascii="仿宋_GB2312" w:hAnsi="仿宋_GB2312" w:eastAsia="仿宋_GB2312" w:cs="仿宋_GB2312"/>
                <w:kern w:val="0"/>
                <w:sz w:val="24"/>
                <w:highlight w:val="none"/>
              </w:rPr>
            </w:pPr>
            <w:r>
              <w:rPr>
                <w:rFonts w:hint="eastAsia" w:ascii="仿宋_GB2312" w:hAnsi="仿宋_GB2312" w:eastAsia="仿宋_GB2312" w:cs="仿宋_GB2312"/>
                <w:kern w:val="0"/>
                <w:sz w:val="24"/>
                <w:highlight w:val="none"/>
              </w:rPr>
              <w:t>区辖区内市价格主管部门定价范围以外的，利用公共资源建设的景区的门票以及景区内的游览场所、交通</w:t>
            </w:r>
            <w:r>
              <w:rPr>
                <w:rFonts w:hint="eastAsia" w:ascii="仿宋_GB2312" w:hAnsi="仿宋_GB2312" w:eastAsia="仿宋_GB2312" w:cs="仿宋_GB2312"/>
                <w:kern w:val="0"/>
                <w:sz w:val="24"/>
                <w:highlight w:val="none"/>
                <w:lang w:eastAsia="zh-CN"/>
              </w:rPr>
              <w:t>运输服务价格</w:t>
            </w:r>
          </w:p>
        </w:tc>
        <w:tc>
          <w:tcPr>
            <w:tcW w:w="2415" w:type="dxa"/>
            <w:tcBorders>
              <w:tl2br w:val="nil"/>
              <w:tr2bl w:val="nil"/>
            </w:tcBorders>
            <w:noWrap w:val="0"/>
            <w:vAlign w:val="center"/>
          </w:tcPr>
          <w:p>
            <w:pPr>
              <w:widowControl/>
              <w:spacing w:line="320" w:lineRule="exact"/>
              <w:jc w:val="center"/>
              <w:rPr>
                <w:rFonts w:hint="eastAsia" w:ascii="仿宋_GB2312" w:hAnsi="仿宋_GB2312" w:eastAsia="仿宋_GB2312" w:cs="仿宋_GB2312"/>
                <w:kern w:val="0"/>
                <w:sz w:val="24"/>
                <w:highlight w:val="none"/>
              </w:rPr>
            </w:pPr>
            <w:r>
              <w:rPr>
                <w:rFonts w:hint="eastAsia" w:ascii="仿宋_GB2312" w:hAnsi="仿宋_GB2312" w:eastAsia="仿宋_GB2312" w:cs="仿宋_GB2312"/>
                <w:kern w:val="0"/>
                <w:sz w:val="24"/>
                <w:highlight w:val="none"/>
              </w:rPr>
              <w:t>授权区人民政府</w:t>
            </w:r>
          </w:p>
        </w:tc>
        <w:tc>
          <w:tcPr>
            <w:tcW w:w="4366" w:type="dxa"/>
            <w:tcBorders>
              <w:tl2br w:val="nil"/>
              <w:tr2bl w:val="nil"/>
            </w:tcBorders>
            <w:noWrap w:val="0"/>
            <w:vAlign w:val="center"/>
          </w:tcPr>
          <w:p>
            <w:pPr>
              <w:widowControl/>
              <w:spacing w:line="320" w:lineRule="exact"/>
              <w:jc w:val="left"/>
              <w:rPr>
                <w:rFonts w:hint="eastAsia" w:ascii="仿宋_GB2312" w:hAnsi="仿宋_GB2312" w:eastAsia="仿宋_GB2312" w:cs="仿宋_GB2312"/>
                <w:kern w:val="0"/>
                <w:sz w:val="24"/>
                <w:highlight w:val="none"/>
              </w:rPr>
            </w:pPr>
            <w:r>
              <w:rPr>
                <w:rFonts w:hint="eastAsia" w:ascii="仿宋_GB2312" w:hAnsi="仿宋_GB2312" w:eastAsia="仿宋_GB2312" w:cs="仿宋_GB2312"/>
                <w:spacing w:val="-10"/>
                <w:kern w:val="0"/>
                <w:sz w:val="24"/>
                <w:highlight w:val="none"/>
                <w:lang w:eastAsia="zh-CN"/>
              </w:rPr>
              <w:t>形成竞争的交通运输服务除外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721" w:type="dxa"/>
            <w:tcBorders>
              <w:tl2br w:val="nil"/>
              <w:tr2bl w:val="nil"/>
            </w:tcBorders>
            <w:noWrap w:val="0"/>
            <w:vAlign w:val="center"/>
          </w:tcPr>
          <w:p>
            <w:pPr>
              <w:widowControl/>
              <w:spacing w:line="320" w:lineRule="exact"/>
              <w:jc w:val="center"/>
              <w:rPr>
                <w:rFonts w:hint="eastAsia" w:ascii="仿宋_GB2312" w:hAnsi="仿宋_GB2312" w:eastAsia="仿宋_GB2312" w:cs="仿宋_GB2312"/>
                <w:kern w:val="0"/>
                <w:sz w:val="24"/>
                <w:highlight w:val="none"/>
              </w:rPr>
            </w:pPr>
            <w:r>
              <w:rPr>
                <w:rFonts w:hint="eastAsia" w:ascii="仿宋_GB2312" w:hAnsi="仿宋_GB2312" w:eastAsia="仿宋_GB2312" w:cs="仿宋_GB2312"/>
                <w:kern w:val="0"/>
                <w:sz w:val="24"/>
                <w:highlight w:val="none"/>
              </w:rPr>
              <w:t>11</w:t>
            </w:r>
          </w:p>
        </w:tc>
        <w:tc>
          <w:tcPr>
            <w:tcW w:w="1202" w:type="dxa"/>
            <w:tcBorders>
              <w:tl2br w:val="nil"/>
              <w:tr2bl w:val="nil"/>
            </w:tcBorders>
            <w:noWrap w:val="0"/>
            <w:vAlign w:val="center"/>
          </w:tcPr>
          <w:p>
            <w:pPr>
              <w:widowControl/>
              <w:spacing w:line="320" w:lineRule="exact"/>
              <w:jc w:val="center"/>
              <w:rPr>
                <w:rFonts w:hint="eastAsia" w:ascii="仿宋_GB2312" w:hAnsi="仿宋_GB2312" w:eastAsia="仿宋_GB2312" w:cs="仿宋_GB2312"/>
                <w:kern w:val="0"/>
                <w:sz w:val="24"/>
                <w:highlight w:val="none"/>
              </w:rPr>
            </w:pPr>
            <w:r>
              <w:rPr>
                <w:rFonts w:hint="eastAsia" w:ascii="仿宋_GB2312" w:hAnsi="仿宋_GB2312" w:eastAsia="仿宋_GB2312" w:cs="仿宋_GB2312"/>
                <w:kern w:val="0"/>
                <w:sz w:val="24"/>
                <w:highlight w:val="none"/>
              </w:rPr>
              <w:t>基本养老服务</w:t>
            </w:r>
          </w:p>
        </w:tc>
        <w:tc>
          <w:tcPr>
            <w:tcW w:w="5595" w:type="dxa"/>
            <w:gridSpan w:val="2"/>
            <w:tcBorders>
              <w:tl2br w:val="nil"/>
              <w:tr2bl w:val="nil"/>
            </w:tcBorders>
            <w:noWrap w:val="0"/>
            <w:vAlign w:val="center"/>
          </w:tcPr>
          <w:p>
            <w:pPr>
              <w:widowControl/>
              <w:spacing w:line="320" w:lineRule="exact"/>
              <w:jc w:val="left"/>
              <w:rPr>
                <w:rFonts w:hint="eastAsia" w:ascii="仿宋_GB2312" w:hAnsi="仿宋_GB2312" w:eastAsia="仿宋_GB2312" w:cs="仿宋_GB2312"/>
                <w:kern w:val="0"/>
                <w:sz w:val="24"/>
                <w:highlight w:val="none"/>
              </w:rPr>
            </w:pPr>
            <w:r>
              <w:rPr>
                <w:rFonts w:hint="eastAsia" w:ascii="仿宋_GB2312" w:hAnsi="仿宋_GB2312" w:eastAsia="仿宋_GB2312" w:cs="仿宋_GB2312"/>
                <w:kern w:val="0"/>
                <w:sz w:val="24"/>
                <w:highlight w:val="none"/>
              </w:rPr>
              <w:t>政府投资建设并运营管理的养老服务机构的基本养老服务费</w:t>
            </w:r>
          </w:p>
        </w:tc>
        <w:tc>
          <w:tcPr>
            <w:tcW w:w="2415" w:type="dxa"/>
            <w:tcBorders>
              <w:tl2br w:val="nil"/>
              <w:tr2bl w:val="nil"/>
            </w:tcBorders>
            <w:noWrap w:val="0"/>
            <w:vAlign w:val="center"/>
          </w:tcPr>
          <w:p>
            <w:pPr>
              <w:widowControl/>
              <w:spacing w:line="320" w:lineRule="exact"/>
              <w:jc w:val="center"/>
              <w:rPr>
                <w:rFonts w:hint="eastAsia" w:ascii="仿宋_GB2312" w:hAnsi="仿宋_GB2312" w:eastAsia="仿宋_GB2312" w:cs="仿宋_GB2312"/>
                <w:kern w:val="0"/>
                <w:sz w:val="24"/>
                <w:highlight w:val="none"/>
              </w:rPr>
            </w:pPr>
            <w:r>
              <w:rPr>
                <w:rFonts w:hint="eastAsia" w:ascii="仿宋_GB2312" w:hAnsi="仿宋_GB2312" w:eastAsia="仿宋_GB2312" w:cs="仿宋_GB2312"/>
                <w:kern w:val="0"/>
                <w:sz w:val="24"/>
                <w:highlight w:val="none"/>
              </w:rPr>
              <w:t>市民政主管部门、</w:t>
            </w:r>
          </w:p>
          <w:p>
            <w:pPr>
              <w:widowControl/>
              <w:spacing w:line="320" w:lineRule="exact"/>
              <w:jc w:val="center"/>
              <w:rPr>
                <w:rFonts w:hint="eastAsia" w:ascii="仿宋_GB2312" w:hAnsi="仿宋_GB2312" w:eastAsia="仿宋_GB2312" w:cs="仿宋_GB2312"/>
                <w:kern w:val="0"/>
                <w:sz w:val="24"/>
                <w:highlight w:val="none"/>
              </w:rPr>
            </w:pPr>
            <w:r>
              <w:rPr>
                <w:rFonts w:hint="eastAsia" w:ascii="仿宋_GB2312" w:hAnsi="仿宋_GB2312" w:eastAsia="仿宋_GB2312" w:cs="仿宋_GB2312"/>
                <w:sz w:val="24"/>
                <w:highlight w:val="none"/>
              </w:rPr>
              <w:t>授权区人民政府</w:t>
            </w:r>
          </w:p>
        </w:tc>
        <w:tc>
          <w:tcPr>
            <w:tcW w:w="4366" w:type="dxa"/>
            <w:tcBorders>
              <w:tl2br w:val="nil"/>
              <w:tr2bl w:val="nil"/>
            </w:tcBorders>
            <w:noWrap w:val="0"/>
            <w:vAlign w:val="center"/>
          </w:tcPr>
          <w:p>
            <w:pPr>
              <w:widowControl/>
              <w:spacing w:line="320" w:lineRule="exact"/>
              <w:jc w:val="left"/>
              <w:rPr>
                <w:rFonts w:hint="eastAsia" w:ascii="仿宋_GB2312" w:hAnsi="仿宋_GB2312" w:eastAsia="仿宋_GB2312" w:cs="仿宋_GB2312"/>
                <w:kern w:val="0"/>
                <w:sz w:val="24"/>
                <w:highlight w:val="none"/>
              </w:rPr>
            </w:pPr>
            <w:r>
              <w:rPr>
                <w:rFonts w:hint="eastAsia" w:ascii="仿宋_GB2312" w:hAnsi="仿宋_GB2312" w:eastAsia="仿宋_GB2312" w:cs="仿宋_GB2312"/>
                <w:kern w:val="0"/>
                <w:sz w:val="24"/>
                <w:highlight w:val="none"/>
              </w:rPr>
              <w:t>定价范围包括床位费、生活照料费。其中街道（乡镇）属和区属公办养老机构基本养老服务费授权区人民政府制定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0" w:hRule="atLeast"/>
          <w:jc w:val="center"/>
        </w:trPr>
        <w:tc>
          <w:tcPr>
            <w:tcW w:w="721" w:type="dxa"/>
            <w:vMerge w:val="restart"/>
            <w:tcBorders>
              <w:tl2br w:val="nil"/>
              <w:tr2bl w:val="nil"/>
            </w:tcBorders>
            <w:noWrap w:val="0"/>
            <w:vAlign w:val="center"/>
          </w:tcPr>
          <w:p>
            <w:pPr>
              <w:widowControl/>
              <w:spacing w:line="320" w:lineRule="exact"/>
              <w:jc w:val="center"/>
              <w:rPr>
                <w:rFonts w:hint="eastAsia" w:ascii="仿宋_GB2312" w:hAnsi="仿宋_GB2312" w:eastAsia="仿宋_GB2312" w:cs="仿宋_GB2312"/>
                <w:kern w:val="0"/>
                <w:sz w:val="24"/>
                <w:highlight w:val="none"/>
              </w:rPr>
            </w:pPr>
            <w:r>
              <w:rPr>
                <w:rFonts w:hint="eastAsia" w:ascii="仿宋_GB2312" w:hAnsi="仿宋_GB2312" w:eastAsia="仿宋_GB2312" w:cs="仿宋_GB2312"/>
                <w:kern w:val="0"/>
                <w:sz w:val="24"/>
                <w:highlight w:val="none"/>
              </w:rPr>
              <w:t>12</w:t>
            </w:r>
          </w:p>
        </w:tc>
        <w:tc>
          <w:tcPr>
            <w:tcW w:w="1202" w:type="dxa"/>
            <w:vMerge w:val="restart"/>
            <w:tcBorders>
              <w:tl2br w:val="nil"/>
              <w:tr2bl w:val="nil"/>
            </w:tcBorders>
            <w:noWrap w:val="0"/>
            <w:vAlign w:val="center"/>
          </w:tcPr>
          <w:p>
            <w:pPr>
              <w:widowControl/>
              <w:spacing w:line="320" w:lineRule="exact"/>
              <w:jc w:val="center"/>
              <w:rPr>
                <w:rFonts w:hint="eastAsia" w:ascii="仿宋_GB2312" w:hAnsi="仿宋_GB2312" w:eastAsia="仿宋_GB2312" w:cs="仿宋_GB2312"/>
                <w:kern w:val="0"/>
                <w:sz w:val="24"/>
                <w:highlight w:val="none"/>
              </w:rPr>
            </w:pPr>
            <w:r>
              <w:rPr>
                <w:rFonts w:hint="eastAsia" w:ascii="仿宋_GB2312" w:hAnsi="仿宋_GB2312" w:eastAsia="仿宋_GB2312" w:cs="仿宋_GB2312"/>
                <w:kern w:val="0"/>
                <w:sz w:val="24"/>
                <w:highlight w:val="none"/>
              </w:rPr>
              <w:t>殡葬服务</w:t>
            </w:r>
          </w:p>
        </w:tc>
        <w:tc>
          <w:tcPr>
            <w:tcW w:w="5595" w:type="dxa"/>
            <w:gridSpan w:val="2"/>
            <w:tcBorders>
              <w:tl2br w:val="nil"/>
              <w:tr2bl w:val="nil"/>
            </w:tcBorders>
            <w:noWrap w:val="0"/>
            <w:vAlign w:val="center"/>
          </w:tcPr>
          <w:p>
            <w:pPr>
              <w:widowControl/>
              <w:spacing w:line="320" w:lineRule="exact"/>
              <w:jc w:val="left"/>
              <w:rPr>
                <w:rFonts w:hint="eastAsia" w:ascii="仿宋_GB2312" w:hAnsi="仿宋_GB2312" w:eastAsia="仿宋_GB2312" w:cs="仿宋_GB2312"/>
                <w:kern w:val="0"/>
                <w:sz w:val="24"/>
                <w:highlight w:val="none"/>
              </w:rPr>
            </w:pPr>
            <w:r>
              <w:rPr>
                <w:rFonts w:hint="eastAsia" w:ascii="仿宋_GB2312" w:hAnsi="仿宋_GB2312" w:eastAsia="仿宋_GB2312" w:cs="仿宋_GB2312"/>
                <w:kern w:val="0"/>
                <w:sz w:val="24"/>
                <w:highlight w:val="none"/>
              </w:rPr>
              <w:t>殡葬基本服务收费</w:t>
            </w:r>
          </w:p>
        </w:tc>
        <w:tc>
          <w:tcPr>
            <w:tcW w:w="2415" w:type="dxa"/>
            <w:tcBorders>
              <w:tl2br w:val="nil"/>
              <w:tr2bl w:val="nil"/>
            </w:tcBorders>
            <w:noWrap w:val="0"/>
            <w:vAlign w:val="center"/>
          </w:tcPr>
          <w:p>
            <w:pPr>
              <w:widowControl/>
              <w:spacing w:line="320" w:lineRule="exact"/>
              <w:jc w:val="center"/>
              <w:rPr>
                <w:rFonts w:hint="eastAsia" w:ascii="仿宋_GB2312" w:hAnsi="仿宋_GB2312" w:eastAsia="仿宋_GB2312" w:cs="仿宋_GB2312"/>
                <w:kern w:val="0"/>
                <w:sz w:val="24"/>
                <w:highlight w:val="none"/>
              </w:rPr>
            </w:pPr>
            <w:r>
              <w:rPr>
                <w:rFonts w:hint="eastAsia" w:ascii="仿宋_GB2312" w:hAnsi="仿宋_GB2312" w:eastAsia="仿宋_GB2312" w:cs="仿宋_GB2312"/>
                <w:kern w:val="0"/>
                <w:sz w:val="24"/>
                <w:highlight w:val="none"/>
              </w:rPr>
              <w:t>市民政主管部门会同市价格主管部门、市财政部门</w:t>
            </w:r>
          </w:p>
        </w:tc>
        <w:tc>
          <w:tcPr>
            <w:tcW w:w="4366" w:type="dxa"/>
            <w:tcBorders>
              <w:tl2br w:val="nil"/>
              <w:tr2bl w:val="nil"/>
            </w:tcBorders>
            <w:noWrap w:val="0"/>
            <w:vAlign w:val="center"/>
          </w:tcPr>
          <w:p>
            <w:pPr>
              <w:widowControl/>
              <w:spacing w:line="320" w:lineRule="exact"/>
              <w:jc w:val="left"/>
              <w:rPr>
                <w:rFonts w:hint="eastAsia" w:ascii="仿宋_GB2312" w:hAnsi="仿宋_GB2312" w:eastAsia="仿宋_GB2312" w:cs="仿宋_GB2312"/>
                <w:kern w:val="0"/>
                <w:sz w:val="24"/>
                <w:highlight w:val="none"/>
              </w:rPr>
            </w:pPr>
            <w:r>
              <w:rPr>
                <w:rFonts w:hint="eastAsia" w:ascii="仿宋_GB2312" w:hAnsi="仿宋_GB2312" w:eastAsia="仿宋_GB2312" w:cs="仿宋_GB2312"/>
                <w:kern w:val="0"/>
                <w:sz w:val="24"/>
                <w:highlight w:val="none"/>
              </w:rPr>
              <w:t>定价范围包括遗体接运费、存放冷藏费（含医院太平间）、火化费、骨灰存放费（民政部门提供的除墓地外的骨灰存放服务）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721" w:type="dxa"/>
            <w:vMerge w:val="continue"/>
            <w:tcBorders>
              <w:tl2br w:val="nil"/>
              <w:tr2bl w:val="nil"/>
            </w:tcBorders>
            <w:noWrap w:val="0"/>
            <w:vAlign w:val="center"/>
          </w:tcPr>
          <w:p>
            <w:pPr>
              <w:widowControl/>
              <w:spacing w:line="320" w:lineRule="exact"/>
              <w:jc w:val="center"/>
              <w:rPr>
                <w:rFonts w:hint="eastAsia" w:ascii="仿宋_GB2312" w:hAnsi="仿宋_GB2312" w:eastAsia="仿宋_GB2312" w:cs="仿宋_GB2312"/>
                <w:kern w:val="0"/>
                <w:sz w:val="24"/>
                <w:highlight w:val="none"/>
              </w:rPr>
            </w:pPr>
          </w:p>
        </w:tc>
        <w:tc>
          <w:tcPr>
            <w:tcW w:w="1202" w:type="dxa"/>
            <w:vMerge w:val="continue"/>
            <w:tcBorders>
              <w:tl2br w:val="nil"/>
              <w:tr2bl w:val="nil"/>
            </w:tcBorders>
            <w:noWrap w:val="0"/>
            <w:vAlign w:val="center"/>
          </w:tcPr>
          <w:p>
            <w:pPr>
              <w:widowControl/>
              <w:spacing w:line="320" w:lineRule="exact"/>
              <w:jc w:val="center"/>
              <w:rPr>
                <w:rFonts w:hint="eastAsia" w:ascii="仿宋_GB2312" w:hAnsi="仿宋_GB2312" w:eastAsia="仿宋_GB2312" w:cs="仿宋_GB2312"/>
                <w:kern w:val="0"/>
                <w:sz w:val="24"/>
                <w:highlight w:val="none"/>
              </w:rPr>
            </w:pPr>
          </w:p>
        </w:tc>
        <w:tc>
          <w:tcPr>
            <w:tcW w:w="5595" w:type="dxa"/>
            <w:gridSpan w:val="2"/>
            <w:tcBorders>
              <w:tl2br w:val="nil"/>
              <w:tr2bl w:val="nil"/>
            </w:tcBorders>
            <w:noWrap w:val="0"/>
            <w:vAlign w:val="center"/>
          </w:tcPr>
          <w:p>
            <w:pPr>
              <w:widowControl/>
              <w:spacing w:line="320" w:lineRule="exact"/>
              <w:jc w:val="left"/>
              <w:rPr>
                <w:rFonts w:hint="eastAsia" w:ascii="仿宋_GB2312" w:hAnsi="仿宋_GB2312" w:eastAsia="仿宋_GB2312" w:cs="仿宋_GB2312"/>
                <w:kern w:val="0"/>
                <w:sz w:val="24"/>
                <w:highlight w:val="none"/>
              </w:rPr>
            </w:pPr>
            <w:r>
              <w:rPr>
                <w:rFonts w:hint="eastAsia" w:ascii="仿宋_GB2312" w:hAnsi="仿宋_GB2312" w:eastAsia="仿宋_GB2312" w:cs="仿宋_GB2312"/>
                <w:kern w:val="0"/>
                <w:sz w:val="24"/>
                <w:highlight w:val="none"/>
              </w:rPr>
              <w:t>殡葬其他服务收费</w:t>
            </w:r>
          </w:p>
        </w:tc>
        <w:tc>
          <w:tcPr>
            <w:tcW w:w="2415" w:type="dxa"/>
            <w:tcBorders>
              <w:tl2br w:val="nil"/>
              <w:tr2bl w:val="nil"/>
            </w:tcBorders>
            <w:noWrap w:val="0"/>
            <w:vAlign w:val="center"/>
          </w:tcPr>
          <w:p>
            <w:pPr>
              <w:widowControl/>
              <w:spacing w:line="320" w:lineRule="exact"/>
              <w:jc w:val="center"/>
              <w:rPr>
                <w:rFonts w:hint="eastAsia" w:ascii="仿宋_GB2312" w:hAnsi="仿宋_GB2312" w:eastAsia="仿宋_GB2312" w:cs="仿宋_GB2312"/>
                <w:kern w:val="0"/>
                <w:sz w:val="24"/>
                <w:highlight w:val="none"/>
              </w:rPr>
            </w:pPr>
            <w:r>
              <w:rPr>
                <w:rFonts w:hint="eastAsia" w:ascii="仿宋_GB2312" w:hAnsi="仿宋_GB2312" w:eastAsia="仿宋_GB2312" w:cs="仿宋_GB2312"/>
                <w:kern w:val="0"/>
                <w:sz w:val="24"/>
                <w:highlight w:val="none"/>
              </w:rPr>
              <w:t>市民政主管部门</w:t>
            </w:r>
          </w:p>
        </w:tc>
        <w:tc>
          <w:tcPr>
            <w:tcW w:w="4366" w:type="dxa"/>
            <w:tcBorders>
              <w:tl2br w:val="nil"/>
              <w:tr2bl w:val="nil"/>
            </w:tcBorders>
            <w:noWrap w:val="0"/>
            <w:vAlign w:val="center"/>
          </w:tcPr>
          <w:p>
            <w:pPr>
              <w:widowControl/>
              <w:spacing w:line="320" w:lineRule="exact"/>
              <w:jc w:val="left"/>
              <w:rPr>
                <w:rFonts w:hint="eastAsia" w:ascii="仿宋_GB2312" w:hAnsi="仿宋_GB2312" w:eastAsia="仿宋_GB2312" w:cs="仿宋_GB2312"/>
                <w:kern w:val="0"/>
                <w:sz w:val="24"/>
                <w:highlight w:val="none"/>
              </w:rPr>
            </w:pPr>
            <w:r>
              <w:rPr>
                <w:rFonts w:hint="eastAsia" w:ascii="仿宋_GB2312" w:hAnsi="仿宋_GB2312" w:eastAsia="仿宋_GB2312" w:cs="仿宋_GB2312"/>
                <w:kern w:val="0"/>
                <w:sz w:val="24"/>
                <w:highlight w:val="none"/>
              </w:rPr>
              <w:t>定价范围包括有偿服务公墓墓穴租赁费、管理费，遗体整容、遗体防腐、吊唁设施及设备租赁费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21" w:type="dxa"/>
            <w:vMerge w:val="continue"/>
            <w:tcBorders>
              <w:tl2br w:val="nil"/>
              <w:tr2bl w:val="nil"/>
            </w:tcBorders>
            <w:noWrap w:val="0"/>
            <w:vAlign w:val="center"/>
          </w:tcPr>
          <w:p>
            <w:pPr>
              <w:widowControl/>
              <w:spacing w:line="320" w:lineRule="exact"/>
              <w:jc w:val="center"/>
              <w:rPr>
                <w:rFonts w:hint="eastAsia" w:ascii="仿宋_GB2312" w:hAnsi="仿宋_GB2312" w:eastAsia="仿宋_GB2312" w:cs="仿宋_GB2312"/>
                <w:kern w:val="0"/>
                <w:sz w:val="24"/>
                <w:highlight w:val="none"/>
              </w:rPr>
            </w:pPr>
          </w:p>
        </w:tc>
        <w:tc>
          <w:tcPr>
            <w:tcW w:w="1202" w:type="dxa"/>
            <w:vMerge w:val="continue"/>
            <w:tcBorders>
              <w:tl2br w:val="nil"/>
              <w:tr2bl w:val="nil"/>
            </w:tcBorders>
            <w:noWrap w:val="0"/>
            <w:vAlign w:val="center"/>
          </w:tcPr>
          <w:p>
            <w:pPr>
              <w:widowControl/>
              <w:spacing w:line="320" w:lineRule="exact"/>
              <w:jc w:val="center"/>
              <w:rPr>
                <w:rFonts w:hint="eastAsia" w:ascii="仿宋_GB2312" w:hAnsi="仿宋_GB2312" w:eastAsia="仿宋_GB2312" w:cs="仿宋_GB2312"/>
                <w:kern w:val="0"/>
                <w:sz w:val="24"/>
                <w:highlight w:val="none"/>
              </w:rPr>
            </w:pPr>
          </w:p>
        </w:tc>
        <w:tc>
          <w:tcPr>
            <w:tcW w:w="5595" w:type="dxa"/>
            <w:gridSpan w:val="2"/>
            <w:tcBorders>
              <w:tl2br w:val="nil"/>
              <w:tr2bl w:val="nil"/>
            </w:tcBorders>
            <w:noWrap w:val="0"/>
            <w:vAlign w:val="center"/>
          </w:tcPr>
          <w:p>
            <w:pPr>
              <w:widowControl/>
              <w:spacing w:line="320" w:lineRule="exact"/>
              <w:jc w:val="left"/>
              <w:rPr>
                <w:rFonts w:hint="eastAsia" w:ascii="仿宋_GB2312" w:hAnsi="仿宋_GB2312" w:eastAsia="仿宋_GB2312" w:cs="仿宋_GB2312"/>
                <w:kern w:val="0"/>
                <w:sz w:val="24"/>
                <w:highlight w:val="none"/>
              </w:rPr>
            </w:pPr>
            <w:r>
              <w:rPr>
                <w:rFonts w:hint="eastAsia" w:ascii="仿宋_GB2312" w:hAnsi="仿宋_GB2312" w:eastAsia="仿宋_GB2312" w:cs="仿宋_GB2312"/>
                <w:kern w:val="0"/>
                <w:sz w:val="24"/>
                <w:highlight w:val="none"/>
              </w:rPr>
              <w:t>回民殡葬基本服务收费</w:t>
            </w:r>
          </w:p>
        </w:tc>
        <w:tc>
          <w:tcPr>
            <w:tcW w:w="2415" w:type="dxa"/>
            <w:tcBorders>
              <w:tl2br w:val="nil"/>
              <w:tr2bl w:val="nil"/>
            </w:tcBorders>
            <w:noWrap w:val="0"/>
            <w:vAlign w:val="center"/>
          </w:tcPr>
          <w:p>
            <w:pPr>
              <w:widowControl/>
              <w:spacing w:line="320" w:lineRule="exact"/>
              <w:jc w:val="center"/>
              <w:rPr>
                <w:rFonts w:hint="eastAsia" w:ascii="仿宋_GB2312" w:hAnsi="仿宋_GB2312" w:eastAsia="仿宋_GB2312" w:cs="仿宋_GB2312"/>
                <w:kern w:val="0"/>
                <w:sz w:val="24"/>
                <w:highlight w:val="none"/>
              </w:rPr>
            </w:pPr>
            <w:r>
              <w:rPr>
                <w:rFonts w:hint="eastAsia" w:ascii="仿宋_GB2312" w:hAnsi="仿宋_GB2312" w:eastAsia="仿宋_GB2312" w:cs="仿宋_GB2312"/>
                <w:kern w:val="0"/>
                <w:sz w:val="24"/>
                <w:highlight w:val="none"/>
              </w:rPr>
              <w:t>市民族事务主管部门</w:t>
            </w:r>
          </w:p>
        </w:tc>
        <w:tc>
          <w:tcPr>
            <w:tcW w:w="4366" w:type="dxa"/>
            <w:tcBorders>
              <w:tl2br w:val="nil"/>
              <w:tr2bl w:val="nil"/>
            </w:tcBorders>
            <w:noWrap w:val="0"/>
            <w:vAlign w:val="center"/>
          </w:tcPr>
          <w:p>
            <w:pPr>
              <w:widowControl/>
              <w:spacing w:line="320" w:lineRule="exact"/>
              <w:jc w:val="left"/>
              <w:rPr>
                <w:rFonts w:hint="eastAsia" w:ascii="仿宋_GB2312" w:hAnsi="仿宋_GB2312" w:eastAsia="仿宋_GB2312" w:cs="仿宋_GB2312"/>
                <w:kern w:val="0"/>
                <w:sz w:val="24"/>
                <w:highlight w:val="none"/>
              </w:rPr>
            </w:pPr>
            <w:r>
              <w:rPr>
                <w:rFonts w:hint="eastAsia" w:ascii="仿宋_GB2312" w:hAnsi="仿宋_GB2312" w:eastAsia="仿宋_GB2312" w:cs="仿宋_GB2312"/>
                <w:kern w:val="0"/>
                <w:sz w:val="24"/>
                <w:highlight w:val="none"/>
              </w:rPr>
              <w:t>定价范围包括墓穴占地费、墓穴管理费、遗体接运费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21" w:type="dxa"/>
            <w:tcBorders>
              <w:tl2br w:val="nil"/>
              <w:tr2bl w:val="nil"/>
            </w:tcBorders>
            <w:noWrap w:val="0"/>
            <w:vAlign w:val="center"/>
          </w:tcPr>
          <w:p>
            <w:pPr>
              <w:spacing w:line="320" w:lineRule="exact"/>
              <w:jc w:val="center"/>
              <w:rPr>
                <w:rFonts w:hint="eastAsia" w:ascii="仿宋_GB2312" w:hAnsi="仿宋_GB2312" w:eastAsia="仿宋_GB2312" w:cs="仿宋_GB2312"/>
                <w:kern w:val="0"/>
                <w:sz w:val="24"/>
                <w:highlight w:val="none"/>
              </w:rPr>
            </w:pPr>
            <w:r>
              <w:rPr>
                <w:rFonts w:hint="eastAsia" w:ascii="仿宋_GB2312" w:hAnsi="仿宋_GB2312" w:eastAsia="仿宋_GB2312" w:cs="仿宋_GB2312"/>
                <w:kern w:val="0"/>
                <w:sz w:val="24"/>
                <w:highlight w:val="none"/>
              </w:rPr>
              <w:t>13</w:t>
            </w:r>
          </w:p>
        </w:tc>
        <w:tc>
          <w:tcPr>
            <w:tcW w:w="1202" w:type="dxa"/>
            <w:tcBorders>
              <w:tl2br w:val="nil"/>
              <w:tr2bl w:val="nil"/>
            </w:tcBorders>
            <w:noWrap w:val="0"/>
            <w:vAlign w:val="center"/>
          </w:tcPr>
          <w:p>
            <w:pPr>
              <w:spacing w:line="320" w:lineRule="exact"/>
              <w:jc w:val="center"/>
              <w:rPr>
                <w:rFonts w:hint="eastAsia" w:ascii="仿宋_GB2312" w:hAnsi="仿宋_GB2312" w:eastAsia="仿宋_GB2312" w:cs="仿宋_GB2312"/>
                <w:kern w:val="0"/>
                <w:sz w:val="24"/>
                <w:highlight w:val="none"/>
              </w:rPr>
            </w:pPr>
            <w:r>
              <w:rPr>
                <w:rFonts w:hint="eastAsia" w:ascii="仿宋_GB2312" w:hAnsi="仿宋_GB2312" w:eastAsia="仿宋_GB2312" w:cs="仿宋_GB2312"/>
                <w:kern w:val="0"/>
                <w:sz w:val="24"/>
                <w:highlight w:val="none"/>
              </w:rPr>
              <w:t>重要专业服务</w:t>
            </w:r>
          </w:p>
        </w:tc>
        <w:tc>
          <w:tcPr>
            <w:tcW w:w="5595" w:type="dxa"/>
            <w:gridSpan w:val="2"/>
            <w:tcBorders>
              <w:tl2br w:val="nil"/>
              <w:tr2bl w:val="nil"/>
            </w:tcBorders>
            <w:noWrap w:val="0"/>
            <w:vAlign w:val="center"/>
          </w:tcPr>
          <w:p>
            <w:pPr>
              <w:widowControl/>
              <w:spacing w:line="320" w:lineRule="exact"/>
              <w:jc w:val="left"/>
              <w:rPr>
                <w:rFonts w:hint="eastAsia" w:ascii="仿宋_GB2312" w:hAnsi="仿宋_GB2312" w:eastAsia="仿宋_GB2312" w:cs="仿宋_GB2312"/>
                <w:kern w:val="0"/>
                <w:sz w:val="24"/>
                <w:highlight w:val="none"/>
              </w:rPr>
            </w:pPr>
            <w:r>
              <w:rPr>
                <w:rFonts w:hint="eastAsia" w:ascii="仿宋_GB2312" w:hAnsi="仿宋_GB2312" w:eastAsia="仿宋_GB2312" w:cs="仿宋_GB2312"/>
                <w:kern w:val="0"/>
                <w:sz w:val="24"/>
                <w:highlight w:val="none"/>
              </w:rPr>
              <w:t>司法服务收费</w:t>
            </w:r>
          </w:p>
        </w:tc>
        <w:tc>
          <w:tcPr>
            <w:tcW w:w="2415" w:type="dxa"/>
            <w:tcBorders>
              <w:tl2br w:val="nil"/>
              <w:tr2bl w:val="nil"/>
            </w:tcBorders>
            <w:noWrap w:val="0"/>
            <w:vAlign w:val="center"/>
          </w:tcPr>
          <w:p>
            <w:pPr>
              <w:spacing w:line="320" w:lineRule="exact"/>
              <w:jc w:val="center"/>
              <w:rPr>
                <w:rFonts w:hint="eastAsia" w:ascii="仿宋_GB2312" w:hAnsi="仿宋_GB2312" w:eastAsia="仿宋_GB2312" w:cs="仿宋_GB2312"/>
                <w:kern w:val="0"/>
                <w:sz w:val="24"/>
                <w:highlight w:val="none"/>
              </w:rPr>
            </w:pPr>
            <w:r>
              <w:rPr>
                <w:rFonts w:hint="eastAsia" w:ascii="仿宋_GB2312" w:hAnsi="仿宋_GB2312" w:eastAsia="仿宋_GB2312" w:cs="仿宋_GB2312"/>
                <w:kern w:val="0"/>
                <w:sz w:val="24"/>
                <w:highlight w:val="none"/>
              </w:rPr>
              <w:t>市价格主管部门会同市司法行政部门</w:t>
            </w:r>
          </w:p>
        </w:tc>
        <w:tc>
          <w:tcPr>
            <w:tcW w:w="4366" w:type="dxa"/>
            <w:tcBorders>
              <w:tl2br w:val="nil"/>
              <w:tr2bl w:val="nil"/>
            </w:tcBorders>
            <w:noWrap w:val="0"/>
            <w:vAlign w:val="center"/>
          </w:tcPr>
          <w:p>
            <w:pPr>
              <w:widowControl/>
              <w:spacing w:line="320" w:lineRule="exact"/>
              <w:jc w:val="left"/>
              <w:rPr>
                <w:rFonts w:hint="eastAsia" w:ascii="仿宋_GB2312" w:hAnsi="仿宋_GB2312" w:eastAsia="仿宋_GB2312" w:cs="仿宋_GB2312"/>
                <w:kern w:val="0"/>
                <w:sz w:val="24"/>
                <w:highlight w:val="none"/>
              </w:rPr>
            </w:pPr>
            <w:r>
              <w:rPr>
                <w:rFonts w:hint="eastAsia" w:ascii="仿宋_GB2312" w:hAnsi="仿宋_GB2312" w:eastAsia="仿宋_GB2312" w:cs="仿宋_GB2312"/>
                <w:kern w:val="0"/>
                <w:sz w:val="24"/>
                <w:highlight w:val="none"/>
              </w:rPr>
              <w:t>定价范围包括公证服务收费和司法鉴定服务收费。</w:t>
            </w:r>
          </w:p>
          <w:p>
            <w:pPr>
              <w:widowControl/>
              <w:spacing w:line="320" w:lineRule="exact"/>
              <w:jc w:val="left"/>
              <w:rPr>
                <w:rFonts w:hint="eastAsia" w:ascii="仿宋_GB2312" w:hAnsi="仿宋_GB2312" w:eastAsia="仿宋_GB2312" w:cs="仿宋_GB2312"/>
                <w:kern w:val="0"/>
                <w:sz w:val="24"/>
                <w:highlight w:val="none"/>
              </w:rPr>
            </w:pPr>
            <w:r>
              <w:rPr>
                <w:rFonts w:hint="eastAsia" w:ascii="仿宋_GB2312" w:hAnsi="仿宋_GB2312" w:eastAsia="仿宋_GB2312" w:cs="仿宋_GB2312"/>
                <w:kern w:val="0"/>
                <w:sz w:val="24"/>
                <w:highlight w:val="none"/>
              </w:rPr>
              <w:t>其中，公证服务具体收费项目目录由市价格主管部门会同市司法行政部门制定公布。</w:t>
            </w:r>
          </w:p>
          <w:p>
            <w:pPr>
              <w:spacing w:line="320" w:lineRule="exact"/>
              <w:jc w:val="left"/>
              <w:rPr>
                <w:rFonts w:hint="eastAsia" w:ascii="仿宋_GB2312" w:hAnsi="仿宋_GB2312" w:eastAsia="仿宋_GB2312" w:cs="仿宋_GB2312"/>
                <w:kern w:val="0"/>
                <w:sz w:val="24"/>
                <w:highlight w:val="none"/>
              </w:rPr>
            </w:pPr>
            <w:r>
              <w:rPr>
                <w:rFonts w:hint="eastAsia" w:ascii="仿宋_GB2312" w:hAnsi="仿宋_GB2312" w:eastAsia="仿宋_GB2312" w:cs="仿宋_GB2312"/>
                <w:kern w:val="0"/>
                <w:sz w:val="24"/>
                <w:highlight w:val="none"/>
              </w:rPr>
              <w:t>司法鉴定服务收费定价范围包括为本市各级人民法院审判工作提供的法医类、物证类、声像资料类司法鉴定收费</w:t>
            </w:r>
          </w:p>
        </w:tc>
      </w:tr>
    </w:tbl>
    <w:p>
      <w:pPr>
        <w:widowControl/>
        <w:ind w:left="0" w:firstLine="0" w:firstLineChars="0"/>
        <w:rPr>
          <w:rFonts w:hint="eastAsia" w:ascii="仿宋_GB2312" w:hAnsi="仿宋_GB2312" w:eastAsia="仿宋_GB2312" w:cs="仿宋_GB2312"/>
          <w:kern w:val="0"/>
          <w:sz w:val="24"/>
          <w:highlight w:val="none"/>
          <w:lang w:eastAsia="zh-CN"/>
        </w:rPr>
      </w:pPr>
      <w:r>
        <w:rPr>
          <w:rFonts w:hint="eastAsia" w:ascii="仿宋_GB2312" w:hAnsi="仿宋_GB2312" w:eastAsia="仿宋_GB2312" w:cs="仿宋_GB2312"/>
          <w:kern w:val="0"/>
          <w:sz w:val="24"/>
          <w:highlight w:val="none"/>
        </w:rPr>
        <w:t>说明：一、本定价目录不包含中央定价项目内容，在本市行政区域内凡涉及中央定价（国家发展改革委和国务院有关部门）的定价项目、定价内容一律按中央定价目录执行。</w:t>
      </w:r>
    </w:p>
    <w:p>
      <w:pPr>
        <w:widowControl/>
        <w:ind w:firstLine="720" w:firstLineChars="300"/>
        <w:rPr>
          <w:rFonts w:hint="eastAsia" w:ascii="仿宋_GB2312" w:hAnsi="仿宋_GB2312" w:eastAsia="仿宋_GB2312" w:cs="仿宋_GB2312"/>
          <w:kern w:val="0"/>
          <w:sz w:val="24"/>
          <w:highlight w:val="none"/>
        </w:rPr>
      </w:pPr>
      <w:r>
        <w:rPr>
          <w:rFonts w:hint="eastAsia" w:ascii="仿宋_GB2312" w:hAnsi="仿宋_GB2312" w:eastAsia="仿宋_GB2312" w:cs="仿宋_GB2312"/>
          <w:kern w:val="0"/>
          <w:sz w:val="24"/>
          <w:highlight w:val="none"/>
        </w:rPr>
        <w:t>二、列入本目录的定价内容，包括定价项目的具体价格、收费标准、基准价及浮动幅度以及相关的定价机制、办法、规则等。</w:t>
      </w:r>
      <w:r>
        <w:rPr>
          <w:rFonts w:hint="eastAsia" w:ascii="仿宋_GB2312" w:hAnsi="仿宋_GB2312" w:eastAsia="仿宋_GB2312" w:cs="仿宋_GB2312"/>
          <w:kern w:val="0"/>
          <w:sz w:val="24"/>
          <w:highlight w:val="none"/>
          <w:lang w:eastAsia="zh-CN"/>
        </w:rPr>
        <w:t>对涉及民生的价格和收费，充分考虑社会承受能力，进行合理监管，保障困难群众生活。</w:t>
      </w:r>
    </w:p>
    <w:p>
      <w:pPr>
        <w:widowControl/>
        <w:ind w:firstLine="720" w:firstLineChars="300"/>
        <w:rPr>
          <w:rFonts w:hint="eastAsia" w:ascii="仿宋_GB2312" w:hAnsi="仿宋_GB2312" w:eastAsia="仿宋_GB2312" w:cs="仿宋_GB2312"/>
          <w:kern w:val="0"/>
          <w:sz w:val="24"/>
          <w:highlight w:val="none"/>
        </w:rPr>
      </w:pPr>
      <w:r>
        <w:rPr>
          <w:rFonts w:hint="eastAsia" w:ascii="仿宋_GB2312" w:hAnsi="仿宋_GB2312" w:eastAsia="仿宋_GB2312" w:cs="仿宋_GB2312"/>
          <w:kern w:val="0"/>
          <w:sz w:val="24"/>
          <w:highlight w:val="none"/>
        </w:rPr>
        <w:t>三、法律、行政法规明确规定实行政府定价、政府指导价的项目，自动进入本目录；法律、行政法规明确规定实行市场调节价的项目，自动退出本目录。</w:t>
      </w:r>
      <w:r>
        <w:rPr>
          <w:rFonts w:hint="eastAsia" w:ascii="仿宋_GB2312" w:hAnsi="仿宋_GB2312" w:eastAsia="仿宋_GB2312" w:cs="仿宋_GB2312"/>
          <w:kern w:val="0"/>
          <w:sz w:val="24"/>
          <w:highlight w:val="none"/>
          <w:lang w:eastAsia="zh-CN"/>
        </w:rPr>
        <w:t>根据价格领域简政放权、放管结合、优化服务等改革进展，定期修订本目录。</w:t>
      </w:r>
      <w:r>
        <w:rPr>
          <w:rFonts w:hint="eastAsia" w:ascii="仿宋_GB2312" w:hAnsi="仿宋_GB2312" w:eastAsia="仿宋_GB2312" w:cs="仿宋_GB2312"/>
          <w:kern w:val="0"/>
          <w:sz w:val="24"/>
          <w:highlight w:val="none"/>
        </w:rPr>
        <w:t>按规定需报市人民政府批准的定价项目，按程序上报市人民政府。</w:t>
      </w:r>
    </w:p>
    <w:p>
      <w:pPr>
        <w:widowControl/>
        <w:ind w:firstLine="720" w:firstLineChars="300"/>
        <w:rPr>
          <w:rFonts w:hint="eastAsia" w:ascii="仿宋_GB2312" w:hAnsi="仿宋_GB2312" w:eastAsia="仿宋_GB2312" w:cs="仿宋_GB2312"/>
          <w:kern w:val="0"/>
          <w:sz w:val="24"/>
          <w:highlight w:val="none"/>
        </w:rPr>
      </w:pPr>
      <w:r>
        <w:rPr>
          <w:rFonts w:hint="eastAsia" w:ascii="仿宋_GB2312" w:hAnsi="仿宋_GB2312" w:eastAsia="仿宋_GB2312" w:cs="仿宋_GB2312"/>
          <w:kern w:val="0"/>
          <w:sz w:val="24"/>
          <w:highlight w:val="none"/>
        </w:rPr>
        <w:t>四、</w:t>
      </w:r>
      <w:r>
        <w:rPr>
          <w:rFonts w:hint="eastAsia" w:ascii="仿宋_GB2312" w:hAnsi="仿宋_GB2312" w:eastAsia="仿宋_GB2312" w:cs="仿宋_GB2312"/>
          <w:kern w:val="0"/>
          <w:sz w:val="24"/>
          <w:highlight w:val="none"/>
          <w:lang w:eastAsia="zh-CN"/>
        </w:rPr>
        <w:t>尚未通过市场交易形成价格、在市内消纳的水电、气电等非中央定价项目的电量上网电价由市价格主管部门制定，尚未通过市场交易形成价格的销售电价暂按现行办法管理，视电力市场化改革进程适时放开由市场形成。居民、农业等优先购电电量的销售电价，由国务院价格主管部门制定定价原则和总体水平，市价格主管部门制定具体价格水平。高可靠性供电费、系统备用费暂按现行办法管理，由市价格主管部门制定。</w:t>
      </w:r>
    </w:p>
    <w:p>
      <w:pPr>
        <w:widowControl/>
        <w:ind w:firstLine="720" w:firstLineChars="300"/>
        <w:rPr>
          <w:rFonts w:hint="eastAsia" w:ascii="仿宋_GB2312" w:hAnsi="仿宋_GB2312" w:eastAsia="仿宋_GB2312" w:cs="仿宋_GB2312"/>
          <w:kern w:val="0"/>
          <w:sz w:val="24"/>
          <w:highlight w:val="none"/>
        </w:rPr>
      </w:pPr>
      <w:r>
        <w:rPr>
          <w:rFonts w:hint="eastAsia" w:ascii="仿宋_GB2312" w:hAnsi="仿宋_GB2312" w:eastAsia="仿宋_GB2312" w:cs="仿宋_GB2312"/>
          <w:kern w:val="0"/>
          <w:sz w:val="24"/>
          <w:highlight w:val="none"/>
        </w:rPr>
        <w:t>五、有线电视相关收费（网络工程、入网、搬迁</w:t>
      </w:r>
      <w:r>
        <w:rPr>
          <w:rFonts w:ascii="仿宋_GB2312" w:hAnsi="仿宋_GB2312" w:eastAsia="仿宋_GB2312" w:cs="仿宋_GB2312"/>
          <w:kern w:val="0"/>
          <w:sz w:val="24"/>
          <w:highlight w:val="none"/>
        </w:rPr>
        <w:t>、停、复收费</w:t>
      </w:r>
      <w:r>
        <w:rPr>
          <w:rFonts w:hint="eastAsia" w:ascii="仿宋_GB2312" w:hAnsi="仿宋_GB2312" w:eastAsia="仿宋_GB2312" w:cs="仿宋_GB2312"/>
          <w:kern w:val="0"/>
          <w:sz w:val="24"/>
          <w:highlight w:val="none"/>
        </w:rPr>
        <w:t>）暂按现行办法管理。</w:t>
      </w:r>
    </w:p>
    <w:p>
      <w:pPr>
        <w:widowControl/>
        <w:ind w:firstLine="720" w:firstLineChars="300"/>
        <w:rPr>
          <w:rFonts w:hint="eastAsia" w:ascii="仿宋_GB2312" w:hAnsi="仿宋_GB2312" w:eastAsia="仿宋_GB2312" w:cs="仿宋_GB2312"/>
          <w:kern w:val="0"/>
          <w:sz w:val="24"/>
          <w:highlight w:val="none"/>
        </w:rPr>
      </w:pPr>
      <w:r>
        <w:rPr>
          <w:rFonts w:hint="eastAsia" w:ascii="仿宋_GB2312" w:hAnsi="仿宋_GB2312" w:eastAsia="仿宋_GB2312" w:cs="仿宋_GB2312"/>
          <w:kern w:val="0"/>
          <w:sz w:val="24"/>
          <w:highlight w:val="none"/>
        </w:rPr>
        <w:t>六、</w:t>
      </w:r>
      <w:r>
        <w:rPr>
          <w:rFonts w:hint="eastAsia" w:ascii="仿宋_GB2312" w:hAnsi="仿宋_GB2312" w:eastAsia="仿宋_GB2312" w:cs="仿宋_GB2312"/>
          <w:i w:val="0"/>
          <w:iCs w:val="0"/>
          <w:caps w:val="0"/>
          <w:spacing w:val="0"/>
          <w:kern w:val="0"/>
          <w:sz w:val="24"/>
          <w:szCs w:val="24"/>
          <w:highlight w:val="none"/>
          <w:shd w:val="clear" w:color="auto" w:fill="auto"/>
        </w:rPr>
        <w:t>成品油价格</w:t>
      </w:r>
      <w:r>
        <w:rPr>
          <w:rFonts w:hint="eastAsia" w:ascii="仿宋_GB2312" w:hAnsi="仿宋_GB2312" w:eastAsia="仿宋_GB2312" w:cs="仿宋_GB2312"/>
          <w:kern w:val="0"/>
          <w:sz w:val="24"/>
          <w:highlight w:val="none"/>
        </w:rPr>
        <w:t>继续按照现行办法管理。</w:t>
      </w:r>
    </w:p>
    <w:p>
      <w:pPr>
        <w:widowControl/>
        <w:ind w:firstLine="720" w:firstLineChars="300"/>
        <w:rPr>
          <w:rFonts w:hint="eastAsia" w:ascii="仿宋_GB2312" w:hAnsi="仿宋_GB2312" w:eastAsia="仿宋_GB2312" w:cs="仿宋_GB2312"/>
          <w:kern w:val="0"/>
          <w:sz w:val="24"/>
          <w:highlight w:val="none"/>
          <w:lang w:eastAsia="zh-CN"/>
        </w:rPr>
      </w:pPr>
      <w:r>
        <w:rPr>
          <w:rFonts w:hint="eastAsia" w:ascii="仿宋_GB2312" w:hAnsi="仿宋_GB2312" w:eastAsia="仿宋_GB2312" w:cs="仿宋_GB2312"/>
          <w:kern w:val="0"/>
          <w:sz w:val="24"/>
          <w:highlight w:val="none"/>
          <w:lang w:eastAsia="zh-CN"/>
        </w:rPr>
        <w:t>七、行政事业性收费项目和标准的审批属于政府内部审批事项，继续按现行办法管理。</w:t>
      </w:r>
    </w:p>
    <w:p>
      <w:pPr>
        <w:rPr>
          <w:highlight w:val="none"/>
        </w:rPr>
      </w:pPr>
    </w:p>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3367F2"/>
    <w:rsid w:val="30B36775"/>
    <w:rsid w:val="423367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customStyle="1" w:styleId="5">
    <w:name w:val="样式2"/>
    <w:basedOn w:val="1"/>
    <w:qFormat/>
    <w:uiPriority w:val="0"/>
    <w:rPr>
      <w:rFonts w:asciiTheme="minorAscii" w:hAnsiTheme="minorAscii"/>
      <w:sz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2021-09-24T03:22:00Z</dcterms:created>
  <dc:creator>张宇琪</dc:creator>
  <cp:lastModifiedBy>张宇琪</cp:lastModifiedBy>
  <dcterms:modified xsi:type="dcterms:W3CDTF">2021-09-24T03:23:35Z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8C4D3A0F9D6A41AD9CE70DE1167D9631</vt:lpwstr>
  </property>
</Properties>
</file>