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rPr>
      </w:pPr>
      <w:bookmarkStart w:id="0" w:name="_Toc81206965"/>
      <w:r>
        <w:rPr>
          <w:rFonts w:hint="eastAsia" w:ascii="Times New Roman" w:hAnsi="Times New Roman" w:cs="Times New Roman"/>
        </w:rPr>
        <w:t>国家税务总局</w:t>
      </w:r>
      <w:r>
        <w:rPr>
          <w:rFonts w:hint="default" w:ascii="Times New Roman" w:hAnsi="Times New Roman" w:cs="Times New Roman"/>
          <w:lang w:val="en"/>
        </w:rPr>
        <w:t>青海</w:t>
      </w:r>
      <w:r>
        <w:rPr>
          <w:rFonts w:hint="eastAsia" w:ascii="Times New Roman" w:hAnsi="Times New Roman" w:cs="Times New Roman"/>
        </w:rPr>
        <w:t>省税务局关于国有土地使用权出让收入 矿产资源专项收入征管职责划转有关事项的公告</w:t>
      </w:r>
      <w:bookmarkEnd w:id="0"/>
    </w:p>
    <w:p>
      <w:pPr>
        <w:pStyle w:val="2"/>
        <w:rPr>
          <w:rFonts w:hint="eastAsia" w:ascii="Times New Roman" w:hAnsi="Times New Roman" w:cs="Times New Roman"/>
          <w:lang w:val="en" w:eastAsia="zh-CN"/>
        </w:rPr>
      </w:pPr>
      <w:r>
        <w:rPr>
          <w:rFonts w:hint="eastAsia" w:ascii="Times New Roman" w:hAnsi="Times New Roman" w:cs="Times New Roman"/>
          <w:lang w:val="en" w:eastAsia="zh-CN"/>
        </w:rPr>
        <w:t>（征求意见稿）</w:t>
      </w:r>
    </w:p>
    <w:p>
      <w:pPr>
        <w:rPr>
          <w:rFonts w:hint="eastAsia"/>
          <w:lang w:val="en" w:eastAsia="zh-CN"/>
        </w:rPr>
      </w:pPr>
    </w:p>
    <w:p>
      <w:pPr>
        <w:widowControl w:val="0"/>
        <w:spacing w:line="360" w:lineRule="exact"/>
        <w:ind w:firstLine="420" w:firstLineChars="200"/>
        <w:rPr>
          <w:rFonts w:cs="仿宋_GB2312" w:asciiTheme="minorEastAsia" w:hAnsiTheme="minorEastAsia"/>
          <w:kern w:val="2"/>
          <w:sz w:val="21"/>
          <w:szCs w:val="21"/>
        </w:rPr>
      </w:pPr>
      <w:r>
        <w:rPr>
          <w:rFonts w:hint="eastAsia" w:cs="仿宋_GB2312" w:asciiTheme="minorEastAsia" w:hAnsiTheme="minorEastAsia"/>
          <w:kern w:val="2"/>
          <w:sz w:val="21"/>
          <w:szCs w:val="21"/>
        </w:rPr>
        <w:t>为贯彻落实好党中央、国务院关于政府非税收入征管职责划转有关部署要求，根据《财政部 自然资源部 税务总局 人民银行关于将国有土地使用权出让收入、矿产资源专项收入、海域使用金、无居民海岛使用金四项政府非税收入划转税务部门征收有关问题的通知》(财综〔2021〕19号)和我省有关规定，现就有关事项公告如下：</w:t>
      </w:r>
    </w:p>
    <w:p>
      <w:pPr>
        <w:widowControl w:val="0"/>
        <w:spacing w:line="360" w:lineRule="exact"/>
        <w:ind w:firstLine="420" w:firstLineChars="200"/>
        <w:rPr>
          <w:rFonts w:cs="仿宋_GB2312" w:asciiTheme="minorEastAsia" w:hAnsiTheme="minorEastAsia"/>
          <w:kern w:val="2"/>
          <w:sz w:val="21"/>
          <w:szCs w:val="21"/>
        </w:rPr>
      </w:pPr>
      <w:r>
        <w:rPr>
          <w:rFonts w:hint="eastAsia" w:cs="仿宋_GB2312" w:asciiTheme="minorEastAsia" w:hAnsiTheme="minorEastAsia"/>
          <w:kern w:val="2"/>
          <w:sz w:val="21"/>
          <w:szCs w:val="21"/>
        </w:rPr>
        <w:t>一、自202</w:t>
      </w:r>
      <w:r>
        <w:rPr>
          <w:rFonts w:hint="default" w:cs="仿宋_GB2312" w:asciiTheme="minorEastAsia" w:hAnsiTheme="minorEastAsia"/>
          <w:kern w:val="2"/>
          <w:sz w:val="21"/>
          <w:szCs w:val="21"/>
          <w:lang w:val="en"/>
        </w:rPr>
        <w:t>2</w:t>
      </w:r>
      <w:r>
        <w:rPr>
          <w:rFonts w:hint="eastAsia" w:cs="仿宋_GB2312" w:asciiTheme="minorEastAsia" w:hAnsiTheme="minorEastAsia"/>
          <w:kern w:val="2"/>
          <w:sz w:val="21"/>
          <w:szCs w:val="21"/>
        </w:rPr>
        <w:t>年</w:t>
      </w:r>
      <w:r>
        <w:rPr>
          <w:rFonts w:hint="default" w:cs="仿宋_GB2312" w:asciiTheme="minorEastAsia" w:hAnsiTheme="minorEastAsia"/>
          <w:kern w:val="2"/>
          <w:sz w:val="21"/>
          <w:szCs w:val="21"/>
          <w:lang w:val="en"/>
        </w:rPr>
        <w:t>1</w:t>
      </w:r>
      <w:r>
        <w:rPr>
          <w:rFonts w:hint="eastAsia" w:cs="仿宋_GB2312" w:asciiTheme="minorEastAsia" w:hAnsiTheme="minorEastAsia"/>
          <w:kern w:val="2"/>
          <w:sz w:val="21"/>
          <w:szCs w:val="21"/>
        </w:rPr>
        <w:t>月1日起，将我省由自然资源部门负责征收的国有土地使用权出让收入、矿产资源专项收入，全部划转</w:t>
      </w:r>
      <w:r>
        <w:rPr>
          <w:rFonts w:hint="eastAsia" w:cs="仿宋_GB2312" w:asciiTheme="minorEastAsia" w:hAnsiTheme="minorEastAsia"/>
          <w:kern w:val="2"/>
          <w:sz w:val="21"/>
          <w:szCs w:val="21"/>
          <w:lang w:eastAsia="zh-CN"/>
        </w:rPr>
        <w:t>至</w:t>
      </w:r>
      <w:r>
        <w:rPr>
          <w:rFonts w:hint="eastAsia" w:cs="仿宋_GB2312" w:asciiTheme="minorEastAsia" w:hAnsiTheme="minorEastAsia"/>
          <w:kern w:val="2"/>
          <w:sz w:val="21"/>
          <w:szCs w:val="21"/>
        </w:rPr>
        <w:t>税务部门负责征收。</w:t>
      </w:r>
    </w:p>
    <w:p>
      <w:pPr>
        <w:widowControl w:val="0"/>
        <w:spacing w:line="360" w:lineRule="exact"/>
        <w:ind w:firstLine="420" w:firstLineChars="200"/>
        <w:rPr>
          <w:rFonts w:cs="仿宋_GB2312" w:asciiTheme="minorEastAsia" w:hAnsiTheme="minorEastAsia"/>
          <w:kern w:val="2"/>
          <w:sz w:val="21"/>
          <w:szCs w:val="21"/>
        </w:rPr>
      </w:pPr>
      <w:r>
        <w:rPr>
          <w:rFonts w:hint="eastAsia" w:cs="仿宋_GB2312" w:asciiTheme="minorEastAsia" w:hAnsiTheme="minorEastAsia"/>
          <w:kern w:val="2"/>
          <w:sz w:val="21"/>
          <w:szCs w:val="21"/>
        </w:rPr>
        <w:t>二、税务部门按照属地原则征收上述非税收入。国有土地使用权出让收入以土地所在地税务机关为征收机关，矿产资源专项收入以矿产资源所在地税务机关为征收机关。</w:t>
      </w:r>
    </w:p>
    <w:p>
      <w:pPr>
        <w:widowControl w:val="0"/>
        <w:spacing w:line="360" w:lineRule="exact"/>
        <w:ind w:firstLine="420" w:firstLineChars="200"/>
        <w:rPr>
          <w:rFonts w:cs="仿宋_GB2312" w:asciiTheme="minorEastAsia" w:hAnsiTheme="minorEastAsia"/>
          <w:kern w:val="2"/>
          <w:sz w:val="21"/>
          <w:szCs w:val="21"/>
        </w:rPr>
      </w:pPr>
      <w:r>
        <w:rPr>
          <w:rFonts w:hint="eastAsia" w:cs="仿宋_GB2312" w:asciiTheme="minorEastAsia" w:hAnsiTheme="minorEastAsia"/>
          <w:kern w:val="2"/>
          <w:sz w:val="21"/>
          <w:szCs w:val="21"/>
        </w:rPr>
        <w:t>三、国有土地使用权出让收入</w:t>
      </w:r>
      <w:bookmarkStart w:id="1" w:name="_GoBack"/>
      <w:bookmarkEnd w:id="1"/>
      <w:r>
        <w:rPr>
          <w:rFonts w:hint="eastAsia" w:cs="仿宋_GB2312" w:asciiTheme="minorEastAsia" w:hAnsiTheme="minorEastAsia"/>
          <w:kern w:val="2"/>
          <w:sz w:val="21"/>
          <w:szCs w:val="21"/>
        </w:rPr>
        <w:t>竞得人（缴费人）依据税务部门开具的《缴款通知书》，在规定期限内自行申报缴纳。</w:t>
      </w:r>
    </w:p>
    <w:p>
      <w:pPr>
        <w:widowControl w:val="0"/>
        <w:spacing w:line="360" w:lineRule="exact"/>
        <w:ind w:firstLine="420" w:firstLineChars="200"/>
        <w:rPr>
          <w:rFonts w:cs="仿宋_GB2312" w:asciiTheme="minorEastAsia" w:hAnsiTheme="minorEastAsia"/>
          <w:kern w:val="2"/>
          <w:sz w:val="21"/>
          <w:szCs w:val="21"/>
        </w:rPr>
      </w:pPr>
      <w:r>
        <w:rPr>
          <w:rFonts w:hint="eastAsia" w:cs="仿宋_GB2312" w:asciiTheme="minorEastAsia" w:hAnsiTheme="minorEastAsia"/>
          <w:kern w:val="2"/>
          <w:sz w:val="21"/>
          <w:szCs w:val="21"/>
        </w:rPr>
        <w:t>涉及竞买保证金的，出让合同签订后，竞买保证金账户管理单位将竞买保证金抵作国有土地使用权出让收入，在规定期限内代竞得人向税务部门申报缴纳。</w:t>
      </w:r>
    </w:p>
    <w:p>
      <w:pPr>
        <w:widowControl w:val="0"/>
        <w:spacing w:line="360" w:lineRule="exact"/>
        <w:ind w:firstLine="420" w:firstLineChars="200"/>
        <w:rPr>
          <w:rFonts w:cs="仿宋_GB2312" w:asciiTheme="minorEastAsia" w:hAnsiTheme="minorEastAsia"/>
          <w:kern w:val="2"/>
          <w:sz w:val="21"/>
          <w:szCs w:val="21"/>
        </w:rPr>
      </w:pPr>
      <w:r>
        <w:rPr>
          <w:rFonts w:hint="eastAsia" w:cs="仿宋_GB2312" w:asciiTheme="minorEastAsia" w:hAnsiTheme="minorEastAsia"/>
          <w:kern w:val="2"/>
          <w:sz w:val="21"/>
          <w:szCs w:val="21"/>
        </w:rPr>
        <w:t>四、矿产资源专项收入竞得人（缴费人）依据税务部门开具的《缴款通知书》，在规定期限内自行申报缴纳。</w:t>
      </w:r>
    </w:p>
    <w:p>
      <w:pPr>
        <w:widowControl w:val="0"/>
        <w:spacing w:line="360" w:lineRule="exact"/>
        <w:ind w:firstLine="420" w:firstLineChars="200"/>
        <w:rPr>
          <w:rFonts w:cs="仿宋_GB2312" w:asciiTheme="minorEastAsia" w:hAnsiTheme="minorEastAsia"/>
          <w:kern w:val="2"/>
          <w:sz w:val="21"/>
          <w:szCs w:val="21"/>
        </w:rPr>
      </w:pPr>
      <w:r>
        <w:rPr>
          <w:rFonts w:hint="eastAsia" w:cs="仿宋_GB2312" w:asciiTheme="minorEastAsia" w:hAnsiTheme="minorEastAsia"/>
          <w:kern w:val="2"/>
          <w:sz w:val="21"/>
          <w:szCs w:val="21"/>
        </w:rPr>
        <w:t>五、竞得人（缴费人）原则上使用《非税收入通用申报表》申报缴纳国有土地使用权出让收入、矿产资源专项收入。</w:t>
      </w:r>
    </w:p>
    <w:p>
      <w:pPr>
        <w:widowControl w:val="0"/>
        <w:spacing w:line="360" w:lineRule="exact"/>
        <w:ind w:firstLine="420" w:firstLineChars="200"/>
        <w:rPr>
          <w:rFonts w:cs="仿宋_GB2312" w:asciiTheme="minorEastAsia" w:hAnsiTheme="minorEastAsia"/>
          <w:kern w:val="2"/>
          <w:sz w:val="21"/>
          <w:szCs w:val="21"/>
        </w:rPr>
      </w:pPr>
      <w:r>
        <w:rPr>
          <w:rFonts w:hint="eastAsia" w:cs="仿宋_GB2312" w:asciiTheme="minorEastAsia" w:hAnsiTheme="minorEastAsia"/>
          <w:kern w:val="2"/>
          <w:sz w:val="21"/>
          <w:szCs w:val="21"/>
        </w:rPr>
        <w:t>六、自202</w:t>
      </w:r>
      <w:r>
        <w:rPr>
          <w:rFonts w:hint="default" w:cs="仿宋_GB2312" w:asciiTheme="minorEastAsia" w:hAnsiTheme="minorEastAsia"/>
          <w:kern w:val="2"/>
          <w:sz w:val="21"/>
          <w:szCs w:val="21"/>
          <w:lang w:val="en"/>
        </w:rPr>
        <w:t>2</w:t>
      </w:r>
      <w:r>
        <w:rPr>
          <w:rFonts w:hint="eastAsia" w:cs="仿宋_GB2312" w:asciiTheme="minorEastAsia" w:hAnsiTheme="minorEastAsia"/>
          <w:kern w:val="2"/>
          <w:sz w:val="21"/>
          <w:szCs w:val="21"/>
        </w:rPr>
        <w:t>年</w:t>
      </w:r>
      <w:r>
        <w:rPr>
          <w:rFonts w:hint="default" w:cs="仿宋_GB2312" w:asciiTheme="minorEastAsia" w:hAnsiTheme="minorEastAsia"/>
          <w:kern w:val="2"/>
          <w:sz w:val="21"/>
          <w:szCs w:val="21"/>
          <w:lang w:val="en"/>
        </w:rPr>
        <w:t>1</w:t>
      </w:r>
      <w:r>
        <w:rPr>
          <w:rFonts w:hint="eastAsia" w:cs="仿宋_GB2312" w:asciiTheme="minorEastAsia" w:hAnsiTheme="minorEastAsia"/>
          <w:kern w:val="2"/>
          <w:sz w:val="21"/>
          <w:szCs w:val="21"/>
        </w:rPr>
        <w:t>月1日起，竞得人（缴费人）可以通过政务服务大厅税务窗口、办税服务厅或电子税务局等渠道申报缴纳上述非税收入。税务部门提供三方协议联网划扣、第三方扫码支付、POS机刷卡、银行转账、现金等多种缴费方式。</w:t>
      </w:r>
    </w:p>
    <w:p>
      <w:pPr>
        <w:widowControl w:val="0"/>
        <w:spacing w:line="360" w:lineRule="exact"/>
        <w:ind w:firstLine="420" w:firstLineChars="200"/>
        <w:rPr>
          <w:rFonts w:cs="仿宋_GB2312" w:asciiTheme="minorEastAsia" w:hAnsiTheme="minorEastAsia"/>
          <w:kern w:val="2"/>
          <w:sz w:val="21"/>
          <w:szCs w:val="21"/>
        </w:rPr>
      </w:pPr>
      <w:r>
        <w:rPr>
          <w:rFonts w:hint="eastAsia" w:cs="仿宋_GB2312" w:asciiTheme="minorEastAsia" w:hAnsiTheme="minorEastAsia"/>
          <w:kern w:val="2"/>
          <w:sz w:val="21"/>
          <w:szCs w:val="21"/>
        </w:rPr>
        <w:t>本公告自202</w:t>
      </w:r>
      <w:r>
        <w:rPr>
          <w:rFonts w:hint="default" w:cs="仿宋_GB2312" w:asciiTheme="minorEastAsia" w:hAnsiTheme="minorEastAsia"/>
          <w:kern w:val="2"/>
          <w:sz w:val="21"/>
          <w:szCs w:val="21"/>
          <w:lang w:val="en"/>
        </w:rPr>
        <w:t>2</w:t>
      </w:r>
      <w:r>
        <w:rPr>
          <w:rFonts w:hint="eastAsia" w:cs="仿宋_GB2312" w:asciiTheme="minorEastAsia" w:hAnsiTheme="minorEastAsia"/>
          <w:kern w:val="2"/>
          <w:sz w:val="21"/>
          <w:szCs w:val="21"/>
        </w:rPr>
        <w:t>年</w:t>
      </w:r>
      <w:r>
        <w:rPr>
          <w:rFonts w:hint="default" w:cs="仿宋_GB2312" w:asciiTheme="minorEastAsia" w:hAnsiTheme="minorEastAsia"/>
          <w:kern w:val="2"/>
          <w:sz w:val="21"/>
          <w:szCs w:val="21"/>
          <w:lang w:val="en"/>
        </w:rPr>
        <w:t>1</w:t>
      </w:r>
      <w:r>
        <w:rPr>
          <w:rFonts w:hint="eastAsia" w:cs="仿宋_GB2312" w:asciiTheme="minorEastAsia" w:hAnsiTheme="minorEastAsia"/>
          <w:kern w:val="2"/>
          <w:sz w:val="21"/>
          <w:szCs w:val="21"/>
        </w:rPr>
        <w:t>月1日起施行。</w:t>
      </w:r>
    </w:p>
    <w:p>
      <w:pPr>
        <w:widowControl w:val="0"/>
        <w:spacing w:line="360" w:lineRule="exact"/>
        <w:ind w:firstLine="420" w:firstLineChars="200"/>
        <w:rPr>
          <w:rFonts w:cs="仿宋_GB2312" w:asciiTheme="minorEastAsia" w:hAnsiTheme="minorEastAsia"/>
          <w:kern w:val="2"/>
          <w:sz w:val="21"/>
          <w:szCs w:val="21"/>
        </w:rPr>
      </w:pPr>
      <w:r>
        <w:rPr>
          <w:rFonts w:hint="eastAsia" w:cs="仿宋_GB2312" w:asciiTheme="minorEastAsia" w:hAnsiTheme="minorEastAsia"/>
          <w:kern w:val="2"/>
          <w:sz w:val="21"/>
          <w:szCs w:val="21"/>
        </w:rPr>
        <w:t>特此公告。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Times-Roman">
    <w:altName w:val="Nimbus Roman No9 L"/>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DEF3BF6"/>
    <w:rsid w:val="DFBB8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widowControl w:val="0"/>
      <w:jc w:val="center"/>
      <w:outlineLvl w:val="2"/>
    </w:pPr>
    <w:rPr>
      <w:rFonts w:eastAsia="方正小标宋_GBK" w:cstheme="minorBidi"/>
      <w:bCs/>
      <w:spacing w:val="-6"/>
      <w:w w:val="95"/>
      <w:sz w:val="28"/>
      <w:szCs w:val="32"/>
    </w:rPr>
  </w:style>
  <w:style w:type="paragraph" w:styleId="3">
    <w:name w:val="heading 4"/>
    <w:basedOn w:val="1"/>
    <w:next w:val="1"/>
    <w:unhideWhenUsed/>
    <w:qFormat/>
    <w:uiPriority w:val="9"/>
    <w:pPr>
      <w:keepNext/>
      <w:keepLines/>
      <w:widowControl w:val="0"/>
      <w:spacing w:beforeLines="50" w:line="360" w:lineRule="exact"/>
      <w:jc w:val="center"/>
      <w:outlineLvl w:val="3"/>
    </w:pPr>
    <w:rPr>
      <w:rFonts w:ascii="Times-Roman" w:hAnsi="Times-Roman" w:eastAsia="楷体" w:cstheme="minorBidi"/>
      <w:sz w:val="20"/>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qhtax</cp:lastModifiedBy>
  <dcterms:modified xsi:type="dcterms:W3CDTF">2021-10-15T10:31:01Z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