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6"/>
        <w:keepNext w:val="0"/>
        <w:keepLines w:val="0"/>
        <w:widowControl/>
        <w:kinsoku w:val="0"/>
        <w:autoSpaceDE/>
        <w:autoSpaceDN/>
        <w:adjustRightInd/>
        <w:spacing w:before="460" w:after="460"/>
        <w:rPr>
          <w:bCs/>
          <w:color w:val="auto"/>
        </w:rPr>
      </w:pPr>
      <w:bookmarkStart w:id="0" w:name="_Toc9498"/>
      <w:bookmarkStart w:id="1" w:name="_Toc21085"/>
      <w:bookmarkStart w:id="2" w:name="_Toc2420"/>
      <w:bookmarkStart w:id="3" w:name="_Toc5696"/>
      <w:bookmarkStart w:id="4" w:name="_Toc11178"/>
      <w:bookmarkStart w:id="5" w:name="_Toc27085"/>
      <w:bookmarkStart w:id="6" w:name="_Toc23904"/>
      <w:bookmarkStart w:id="7" w:name="_Toc25441"/>
      <w:bookmarkStart w:id="8" w:name="_Toc1566"/>
      <w:bookmarkStart w:id="9" w:name="_Toc25425"/>
      <w:bookmarkStart w:id="10" w:name="_Toc3205"/>
      <w:bookmarkStart w:id="11" w:name="_Toc23402"/>
      <w:bookmarkStart w:id="12" w:name="_Toc2461"/>
      <w:bookmarkStart w:id="13" w:name="_Toc12191"/>
      <w:bookmarkStart w:id="14" w:name="_Toc12343"/>
      <w:bookmarkStart w:id="15" w:name="_Toc459382423"/>
      <w:bookmarkStart w:id="16" w:name="_Toc28361"/>
      <w:bookmarkStart w:id="17" w:name="_Toc12415"/>
      <w:r>
        <w:rPr>
          <w:rFonts w:hint="eastAsia"/>
          <w:bCs/>
          <w:color w:val="auto"/>
        </w:rPr>
        <w:t>5　证明办理</w:t>
      </w:r>
      <w:r>
        <w:rPr>
          <w:rFonts w:hint="eastAsia"/>
          <w:bCs/>
          <w:color w:val="auto"/>
          <w:lang w:eastAsia="zh-CN"/>
        </w:rPr>
        <w:t>指南</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widowControl/>
        <w:kinsoku w:val="0"/>
        <w:topLinePunct/>
        <w:adjustRightInd/>
        <w:snapToGrid/>
        <w:spacing w:line="360" w:lineRule="auto"/>
        <w:ind w:firstLine="480" w:firstLineChars="200"/>
        <w:rPr>
          <w:rFonts w:ascii="楷体" w:hAnsi="楷体" w:eastAsia="楷体"/>
          <w:color w:val="auto"/>
          <w:sz w:val="24"/>
          <w:szCs w:val="24"/>
        </w:rPr>
      </w:pPr>
      <w:r>
        <w:rPr>
          <w:rFonts w:hint="eastAsia" w:ascii="楷体" w:hAnsi="楷体" w:eastAsia="楷体"/>
          <w:color w:val="auto"/>
          <w:sz w:val="24"/>
          <w:szCs w:val="24"/>
        </w:rPr>
        <w:t>税收证明，是指主管税务机关依法为纳税人出具的对其资产、行为、收入征（免）税情况的要式证明，供纳税人提交第三方使用。证明办理</w:t>
      </w:r>
      <w:r>
        <w:rPr>
          <w:rFonts w:hint="eastAsia" w:ascii="楷体" w:hAnsi="楷体" w:eastAsia="楷体"/>
          <w:color w:val="auto"/>
          <w:sz w:val="24"/>
          <w:szCs w:val="24"/>
          <w:lang w:eastAsia="zh-CN"/>
        </w:rPr>
        <w:t>指南适用于</w:t>
      </w:r>
      <w:r>
        <w:rPr>
          <w:rFonts w:hint="eastAsia" w:ascii="楷体" w:hAnsi="楷体" w:eastAsia="楷体"/>
          <w:color w:val="auto"/>
          <w:sz w:val="24"/>
          <w:szCs w:val="24"/>
        </w:rPr>
        <w:t>纳税人</w:t>
      </w:r>
      <w:r>
        <w:rPr>
          <w:rFonts w:hint="eastAsia" w:ascii="楷体" w:hAnsi="楷体" w:eastAsia="楷体"/>
          <w:color w:val="auto"/>
          <w:sz w:val="24"/>
          <w:szCs w:val="24"/>
          <w:lang w:eastAsia="zh-CN"/>
        </w:rPr>
        <w:t>到税务机关</w:t>
      </w:r>
      <w:r>
        <w:rPr>
          <w:rFonts w:hint="eastAsia" w:ascii="楷体" w:hAnsi="楷体" w:eastAsia="楷体"/>
          <w:color w:val="auto"/>
          <w:sz w:val="24"/>
          <w:szCs w:val="24"/>
        </w:rPr>
        <w:t>办理</w:t>
      </w:r>
      <w:r>
        <w:rPr>
          <w:rFonts w:hint="eastAsia" w:ascii="楷体" w:hAnsi="楷体" w:eastAsia="楷体"/>
          <w:color w:val="auto"/>
          <w:sz w:val="24"/>
          <w:szCs w:val="24"/>
          <w:lang w:eastAsia="zh-CN"/>
        </w:rPr>
        <w:t>相关</w:t>
      </w:r>
      <w:r>
        <w:rPr>
          <w:rFonts w:hint="eastAsia" w:ascii="楷体" w:hAnsi="楷体" w:eastAsia="楷体"/>
          <w:color w:val="auto"/>
          <w:sz w:val="24"/>
          <w:szCs w:val="24"/>
        </w:rPr>
        <w:t>税收证明开具</w:t>
      </w:r>
      <w:r>
        <w:rPr>
          <w:rFonts w:hint="eastAsia" w:ascii="楷体" w:hAnsi="楷体" w:eastAsia="楷体"/>
          <w:color w:val="auto"/>
          <w:sz w:val="24"/>
          <w:szCs w:val="24"/>
          <w:lang w:eastAsia="zh-CN"/>
        </w:rPr>
        <w:t>业务</w:t>
      </w:r>
      <w:r>
        <w:rPr>
          <w:rFonts w:hint="eastAsia" w:ascii="楷体" w:hAnsi="楷体" w:eastAsia="楷体"/>
          <w:color w:val="auto"/>
          <w:sz w:val="24"/>
          <w:szCs w:val="24"/>
        </w:rPr>
        <w:t>，包括1</w:t>
      </w:r>
      <w:r>
        <w:rPr>
          <w:rFonts w:hint="eastAsia" w:ascii="楷体" w:hAnsi="楷体" w:eastAsia="楷体"/>
          <w:color w:val="auto"/>
          <w:sz w:val="24"/>
          <w:szCs w:val="24"/>
          <w:lang w:eastAsia="zh-CN"/>
        </w:rPr>
        <w:t>类</w:t>
      </w:r>
      <w:r>
        <w:rPr>
          <w:rFonts w:hint="eastAsia" w:ascii="楷体" w:hAnsi="楷体" w:eastAsia="楷体"/>
          <w:color w:val="auto"/>
          <w:sz w:val="24"/>
          <w:szCs w:val="24"/>
          <w:lang w:val="en-US" w:eastAsia="zh-CN"/>
        </w:rPr>
        <w:t>3</w:t>
      </w:r>
      <w:r>
        <w:rPr>
          <w:rFonts w:hint="eastAsia" w:ascii="楷体" w:hAnsi="楷体" w:eastAsia="楷体"/>
          <w:color w:val="auto"/>
          <w:sz w:val="24"/>
          <w:szCs w:val="24"/>
        </w:rPr>
        <w:t>个事项。</w:t>
      </w:r>
    </w:p>
    <w:p>
      <w:pPr>
        <w:pStyle w:val="48"/>
        <w:keepNext w:val="0"/>
        <w:keepLines w:val="0"/>
        <w:widowControl/>
        <w:kinsoku w:val="0"/>
        <w:topLinePunct/>
        <w:spacing w:beforeLines="300" w:after="690"/>
        <w:rPr>
          <w:color w:val="auto"/>
        </w:rPr>
      </w:pPr>
      <w:r>
        <w:rPr>
          <w:rFonts w:hint="eastAsia"/>
          <w:color w:val="auto"/>
        </w:rPr>
        <w:t>5</w:t>
      </w:r>
      <w:r>
        <w:rPr>
          <w:rFonts w:hint="eastAsia" w:ascii="Times New Roman" w:hAnsi="Times New Roman"/>
          <w:color w:val="auto"/>
          <w:lang w:eastAsia="zh-CN"/>
        </w:rPr>
        <w:t>.</w:t>
      </w:r>
      <w:r>
        <w:rPr>
          <w:rFonts w:hint="eastAsia"/>
          <w:color w:val="auto"/>
        </w:rPr>
        <w:t>1</w:t>
      </w:r>
      <w:r>
        <w:rPr>
          <w:color w:val="auto"/>
        </w:rPr>
        <w:t>　</w:t>
      </w:r>
      <w:r>
        <w:rPr>
          <w:rFonts w:hint="eastAsia"/>
          <w:color w:val="auto"/>
        </w:rPr>
        <w:t>证明开具</w:t>
      </w:r>
    </w:p>
    <w:p>
      <w:pPr>
        <w:keepNext w:val="0"/>
        <w:widowControl/>
        <w:kinsoku w:val="0"/>
        <w:topLinePunct/>
        <w:adjustRightInd/>
        <w:snapToGrid/>
        <w:spacing w:beforeLines="100" w:afterLines="100" w:line="360" w:lineRule="auto"/>
        <w:ind w:firstLine="560" w:firstLineChars="200"/>
        <w:outlineLvl w:val="2"/>
        <w:rPr>
          <w:rFonts w:ascii="Times New Roman" w:hAnsi="Times New Roman" w:eastAsia="黑体" w:cs="Times New Roman"/>
          <w:b/>
          <w:bCs/>
          <w:color w:val="auto"/>
          <w:kern w:val="24"/>
          <w:sz w:val="28"/>
          <w:szCs w:val="28"/>
        </w:rPr>
      </w:pPr>
      <w:r>
        <w:rPr>
          <w:rFonts w:hint="eastAsia" w:ascii="Times New Roman" w:hAnsi="Times New Roman" w:eastAsia="黑体" w:cs="Times New Roman"/>
          <w:b/>
          <w:bCs/>
          <w:color w:val="auto"/>
          <w:kern w:val="24"/>
          <w:sz w:val="28"/>
          <w:szCs w:val="28"/>
        </w:rPr>
        <w:t>5</w:t>
      </w:r>
      <w:r>
        <w:rPr>
          <w:rFonts w:hint="eastAsia" w:ascii="Times New Roman" w:hAnsi="Times New Roman" w:eastAsia="黑体" w:cs="Times New Roman"/>
          <w:b/>
          <w:bCs/>
          <w:color w:val="auto"/>
          <w:kern w:val="24"/>
          <w:sz w:val="28"/>
          <w:szCs w:val="28"/>
          <w:lang w:eastAsia="zh-CN"/>
        </w:rPr>
        <w:t>.</w:t>
      </w:r>
      <w:r>
        <w:rPr>
          <w:rFonts w:ascii="Times New Roman" w:hAnsi="Times New Roman" w:eastAsia="黑体" w:cs="Times New Roman"/>
          <w:b/>
          <w:bCs/>
          <w:color w:val="auto"/>
          <w:kern w:val="24"/>
          <w:sz w:val="28"/>
          <w:szCs w:val="28"/>
        </w:rPr>
        <w:t>1</w:t>
      </w:r>
      <w:r>
        <w:rPr>
          <w:rFonts w:hint="eastAsia" w:ascii="Times New Roman" w:hAnsi="Times New Roman" w:eastAsia="黑体" w:cs="Times New Roman"/>
          <w:b/>
          <w:bCs/>
          <w:color w:val="auto"/>
          <w:kern w:val="24"/>
          <w:sz w:val="28"/>
          <w:szCs w:val="28"/>
          <w:lang w:eastAsia="zh-CN"/>
        </w:rPr>
        <w:t>.</w:t>
      </w:r>
      <w:r>
        <w:rPr>
          <w:rFonts w:ascii="Times New Roman" w:hAnsi="Times New Roman" w:eastAsia="黑体" w:cs="Times New Roman"/>
          <w:b/>
          <w:bCs/>
          <w:color w:val="auto"/>
          <w:kern w:val="24"/>
          <w:sz w:val="28"/>
          <w:szCs w:val="28"/>
        </w:rPr>
        <w:t>1—</w:t>
      </w:r>
      <w:r>
        <w:rPr>
          <w:rFonts w:hint="eastAsia" w:ascii="Times New Roman" w:hAnsi="Times New Roman" w:eastAsia="黑体" w:cs="Times New Roman"/>
          <w:b/>
          <w:bCs/>
          <w:color w:val="auto"/>
          <w:kern w:val="24"/>
          <w:sz w:val="28"/>
          <w:szCs w:val="28"/>
        </w:rPr>
        <w:t>1</w:t>
      </w:r>
      <w:r>
        <w:rPr>
          <w:rFonts w:hint="eastAsia" w:ascii="Times New Roman" w:hAnsi="Times New Roman" w:eastAsia="黑体" w:cs="Times New Roman"/>
          <w:b/>
          <w:bCs/>
          <w:color w:val="auto"/>
          <w:kern w:val="24"/>
          <w:sz w:val="28"/>
          <w:szCs w:val="28"/>
          <w:lang w:val="en-US" w:eastAsia="zh-CN"/>
        </w:rPr>
        <w:t>29</w:t>
      </w:r>
      <w:r>
        <w:rPr>
          <w:rFonts w:hint="eastAsia" w:ascii="Times New Roman" w:hAnsi="Times New Roman" w:eastAsia="黑体" w:cs="Times New Roman"/>
          <w:b/>
          <w:bCs/>
          <w:color w:val="auto"/>
          <w:kern w:val="24"/>
          <w:sz w:val="28"/>
          <w:szCs w:val="28"/>
        </w:rPr>
        <w:t>　开具税收完税证明</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【事项名称】</w:t>
      </w:r>
    </w:p>
    <w:p>
      <w:pPr>
        <w:widowControl/>
        <w:kinsoku w:val="0"/>
        <w:topLinePunct/>
        <w:adjustRightInd/>
        <w:snapToGrid/>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开具税收完税证明</w:t>
      </w:r>
    </w:p>
    <w:p>
      <w:pPr>
        <w:widowControl/>
        <w:kinsoku w:val="0"/>
        <w:topLinePunct/>
        <w:adjustRightInd/>
        <w:snapToGrid/>
        <w:spacing w:line="360" w:lineRule="auto"/>
        <w:ind w:firstLine="480" w:firstLineChars="200"/>
        <w:rPr>
          <w:rFonts w:hint="eastAsia" w:ascii="宋体" w:hAnsi="宋体" w:eastAsia="宋体"/>
          <w:color w:val="auto"/>
          <w:sz w:val="24"/>
          <w:szCs w:val="24"/>
          <w:lang w:eastAsia="zh-CN"/>
        </w:rPr>
      </w:pPr>
      <w:r>
        <w:rPr>
          <w:rFonts w:hint="eastAsia" w:ascii="宋体" w:hAnsi="宋体" w:eastAsia="宋体"/>
          <w:color w:val="auto"/>
          <w:sz w:val="24"/>
          <w:szCs w:val="24"/>
          <w:lang w:eastAsia="zh-CN"/>
        </w:rPr>
        <w:t>【申请条件】</w:t>
      </w:r>
    </w:p>
    <w:p>
      <w:pPr>
        <w:keepNext w:val="0"/>
        <w:keepLines w:val="0"/>
        <w:pageBreakBefore w:val="0"/>
        <w:widowControl/>
        <w:kinsoku/>
        <w:wordWrap/>
        <w:overflowPunct/>
        <w:topLinePunct/>
        <w:autoSpaceDE/>
        <w:autoSpaceDN/>
        <w:bidi w:val="0"/>
        <w:adjustRightInd/>
        <w:snapToGrid/>
        <w:spacing w:line="360" w:lineRule="auto"/>
        <w:ind w:firstLine="480" w:firstLineChars="200"/>
        <w:textAlignment w:val="auto"/>
        <w:rPr>
          <w:rFonts w:ascii="宋体" w:hAnsi="宋体" w:eastAsia="宋体"/>
          <w:color w:val="auto"/>
          <w:sz w:val="24"/>
          <w:szCs w:val="24"/>
        </w:rPr>
      </w:pPr>
      <w:r>
        <w:rPr>
          <w:rFonts w:hint="eastAsia" w:ascii="宋体" w:hAnsi="宋体" w:eastAsia="宋体"/>
          <w:color w:val="auto"/>
          <w:sz w:val="24"/>
          <w:szCs w:val="24"/>
        </w:rPr>
        <w:t>税收完税证明是税务机关为证明纳税人已经缴纳税款或者已经退还纳税人税款而开具的凭证。纳税人符合下列情形之一的，可以申请</w:t>
      </w:r>
      <w:r>
        <w:rPr>
          <w:rFonts w:hint="eastAsia" w:ascii="宋体" w:hAnsi="宋体" w:eastAsia="宋体"/>
          <w:color w:val="auto"/>
          <w:sz w:val="24"/>
          <w:szCs w:val="24"/>
          <w:lang w:eastAsia="zh-CN"/>
        </w:rPr>
        <w:t>开</w:t>
      </w:r>
      <w:r>
        <w:rPr>
          <w:rFonts w:hint="eastAsia" w:ascii="宋体" w:hAnsi="宋体" w:eastAsia="宋体"/>
          <w:color w:val="auto"/>
          <w:sz w:val="24"/>
          <w:szCs w:val="24"/>
        </w:rPr>
        <w:t>具税收完税证明：</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1</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通过横向联网电子缴税系统划缴税款到国库（经收处）后或收到从国库退还的税款后，当场或事后需要取得税收票证的。</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2</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扣缴义务人代扣、代收税款后，已经向纳税人开具税法规定或国家税务总局认可的记载完税情况的其他凭证，纳税人需要换开正式完税凭证的。</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3</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纳税人遗失已完税的各种税收票证（《出口货物完税分割单》、印花税票和《印花税票销售凭证》除外），需要重新开具的。</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4</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对纳税人特定期间完税情况出具证明的。</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5</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国家税务总局规定的其他需要为纳税人开具完税凭证情形。</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【设定依据】</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1</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《中华人民共和国税收征收管理法》第三十四条</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2</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《中华人民共和国税收征收管理法实施细则》第四十六条</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3</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lang w:val="en-US" w:eastAsia="zh-CN"/>
        </w:rPr>
        <w:t>《税收票证管理办法》（国家税务总局令第28号公布，国家税务总局令第48号修改）</w:t>
      </w:r>
      <w:r>
        <w:rPr>
          <w:rFonts w:hint="eastAsia" w:ascii="宋体" w:hAnsi="宋体" w:eastAsia="宋体"/>
          <w:color w:val="auto"/>
          <w:sz w:val="24"/>
          <w:szCs w:val="24"/>
        </w:rPr>
        <w:t>第十七条</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【办理材料】</w:t>
      </w:r>
    </w:p>
    <w:tbl>
      <w:tblPr>
        <w:tblStyle w:val="17"/>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3273"/>
        <w:gridCol w:w="709"/>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247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适用情形</w:t>
            </w:r>
          </w:p>
        </w:tc>
        <w:tc>
          <w:tcPr>
            <w:tcW w:w="327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材料名称</w:t>
            </w:r>
          </w:p>
        </w:tc>
        <w:tc>
          <w:tcPr>
            <w:tcW w:w="70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数量</w:t>
            </w:r>
          </w:p>
        </w:tc>
        <w:tc>
          <w:tcPr>
            <w:tcW w:w="170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2473"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18"/>
                <w:szCs w:val="18"/>
              </w:rPr>
            </w:pPr>
            <w:r>
              <w:rPr>
                <w:rFonts w:hint="eastAsia" w:ascii="黑体" w:hAnsi="黑体" w:eastAsia="黑体" w:cs="Microsoft Himalaya"/>
                <w:color w:val="auto"/>
                <w:sz w:val="18"/>
                <w:szCs w:val="18"/>
              </w:rPr>
              <w:t>已办理税务登记的纳税人</w:t>
            </w:r>
          </w:p>
        </w:tc>
        <w:tc>
          <w:tcPr>
            <w:tcW w:w="3273"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加载统一社会信用代码的营业执照（或税务登记证、组织机构代码证等）原件</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eastAsia" w:ascii="黑体" w:hAnsi="黑体" w:eastAsia="黑体" w:cs="Microsoft Himalaya"/>
                <w:color w:val="auto"/>
                <w:sz w:val="18"/>
                <w:szCs w:val="18"/>
                <w:lang w:val="en-US" w:eastAsia="zh-CN"/>
              </w:rPr>
            </w:pPr>
            <w:r>
              <w:rPr>
                <w:rFonts w:hint="eastAsia" w:ascii="黑体" w:hAnsi="黑体" w:eastAsia="黑体" w:cs="Microsoft Himalaya"/>
                <w:color w:val="auto"/>
                <w:sz w:val="18"/>
                <w:szCs w:val="18"/>
                <w:lang w:val="en-US" w:eastAsia="zh-CN"/>
              </w:rPr>
              <w:t>1份</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2473"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自然人</w:t>
            </w:r>
          </w:p>
        </w:tc>
        <w:tc>
          <w:tcPr>
            <w:tcW w:w="3273"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身份证件原件</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eastAsia" w:ascii="黑体" w:hAnsi="黑体" w:eastAsia="黑体" w:cs="Microsoft Himalaya"/>
                <w:color w:val="auto"/>
                <w:sz w:val="18"/>
                <w:szCs w:val="18"/>
                <w:lang w:val="en-US" w:eastAsia="zh-CN"/>
              </w:rPr>
            </w:pPr>
            <w:r>
              <w:rPr>
                <w:rFonts w:hint="eastAsia" w:ascii="黑体" w:hAnsi="黑体" w:eastAsia="黑体" w:cs="Microsoft Himalaya"/>
                <w:color w:val="auto"/>
                <w:sz w:val="18"/>
                <w:szCs w:val="18"/>
                <w:lang w:val="en-US" w:eastAsia="zh-CN"/>
              </w:rPr>
              <w:t>1份</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473"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证券交易场所和证券登记结算机构扣缴证券交易印花税后，需要换开税收完税证明</w:t>
            </w:r>
          </w:p>
        </w:tc>
        <w:tc>
          <w:tcPr>
            <w:tcW w:w="3273"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eastAsia" w:ascii="黑体" w:hAnsi="黑体" w:eastAsia="黑体" w:cs="Microsoft Himalaya"/>
                <w:color w:val="auto"/>
                <w:sz w:val="18"/>
                <w:szCs w:val="18"/>
                <w:lang w:eastAsia="zh-CN"/>
              </w:rPr>
            </w:pPr>
            <w:r>
              <w:rPr>
                <w:rFonts w:hint="eastAsia" w:ascii="黑体" w:hAnsi="黑体" w:eastAsia="黑体" w:cs="Microsoft Himalaya"/>
                <w:color w:val="auto"/>
                <w:sz w:val="18"/>
                <w:szCs w:val="18"/>
              </w:rPr>
              <w:t>加盖开具单位的相关业务章戳的“成交过户交割凭单”或“过户登记确认书”</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1份</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473"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通过保险机构缴纳车船税后，需要换开税收完税证明</w:t>
            </w:r>
          </w:p>
        </w:tc>
        <w:tc>
          <w:tcPr>
            <w:tcW w:w="3273"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记载车船税完税情况的“交强险”保险单复印件</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1份</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2473"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储蓄机构扣缴储蓄存款利息所得税后，需要换开税收完税证明</w:t>
            </w:r>
          </w:p>
        </w:tc>
        <w:tc>
          <w:tcPr>
            <w:tcW w:w="3273"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eastAsia" w:ascii="黑体" w:hAnsi="黑体" w:eastAsia="黑体" w:cs="Microsoft Himalaya"/>
                <w:color w:val="auto"/>
                <w:sz w:val="18"/>
                <w:szCs w:val="18"/>
                <w:lang w:eastAsia="zh-CN"/>
              </w:rPr>
            </w:pPr>
            <w:r>
              <w:rPr>
                <w:rFonts w:hint="eastAsia" w:ascii="黑体" w:hAnsi="黑体" w:eastAsia="黑体" w:cs="Microsoft Himalaya"/>
                <w:color w:val="auto"/>
                <w:sz w:val="18"/>
                <w:szCs w:val="18"/>
              </w:rPr>
              <w:t>记载储蓄存款利息所得税完税情况的利息清单</w:t>
            </w:r>
          </w:p>
        </w:tc>
        <w:tc>
          <w:tcPr>
            <w:tcW w:w="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1份</w:t>
            </w:r>
          </w:p>
        </w:tc>
        <w:tc>
          <w:tcPr>
            <w:tcW w:w="17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p>
        </w:tc>
      </w:tr>
    </w:tbl>
    <w:p>
      <w:pPr>
        <w:widowControl/>
        <w:kinsoku w:val="0"/>
        <w:topLinePunct/>
        <w:snapToGrid/>
        <w:spacing w:line="276" w:lineRule="auto"/>
        <w:ind w:firstLine="0" w:firstLineChars="0"/>
        <w:rPr>
          <w:rFonts w:ascii="黑体" w:hAnsi="黑体" w:eastAsia="黑体"/>
          <w:b/>
          <w:color w:val="auto"/>
          <w:sz w:val="11"/>
          <w:szCs w:val="11"/>
        </w:rPr>
      </w:pP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【办理地点】</w:t>
      </w:r>
    </w:p>
    <w:p>
      <w:pPr>
        <w:widowControl/>
        <w:kinsoku w:val="0"/>
        <w:topLinePunct/>
        <w:adjustRightInd/>
        <w:snapToGrid/>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1</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可通过办税服务厅（场所）、电子税务局</w:t>
      </w:r>
      <w:r>
        <w:rPr>
          <w:rFonts w:hint="eastAsia" w:ascii="宋体" w:hAnsi="宋体" w:eastAsia="宋体" w:cstheme="minorBidi"/>
          <w:bCs w:val="0"/>
          <w:lang w:eastAsia="zh-CN"/>
        </w:rPr>
        <w:t>（http://etax.yunnan.chinatax.gov.cn）</w:t>
      </w:r>
      <w:r>
        <w:rPr>
          <w:rFonts w:hint="eastAsia" w:ascii="宋体" w:hAnsi="宋体" w:eastAsia="宋体"/>
          <w:color w:val="auto"/>
          <w:sz w:val="24"/>
          <w:szCs w:val="24"/>
        </w:rPr>
        <w:t>、自助办税终端办理，具体地点可从</w:t>
      </w:r>
      <w:r>
        <w:rPr>
          <w:rFonts w:hint="eastAsia" w:ascii="宋体" w:hAnsi="宋体" w:eastAsia="宋体"/>
          <w:color w:val="auto"/>
          <w:sz w:val="24"/>
          <w:szCs w:val="24"/>
          <w:lang w:eastAsia="zh-CN"/>
        </w:rPr>
        <w:t>云南省税务局网站</w:t>
      </w:r>
      <w:r>
        <w:rPr>
          <w:rFonts w:hint="eastAsia" w:ascii="宋体" w:hAnsi="宋体" w:eastAsia="宋体"/>
          <w:color w:val="auto"/>
          <w:sz w:val="24"/>
          <w:szCs w:val="24"/>
        </w:rPr>
        <w:t>“纳税服务”栏目查询。</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2</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此事项可在全国、同城通办。</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【办理机构】</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主管税务机关</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【收费标准】</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不收费</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【办理时间】</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即时办结</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【联系电话】</w:t>
      </w:r>
    </w:p>
    <w:p>
      <w:pPr>
        <w:widowControl/>
        <w:kinsoku w:val="0"/>
        <w:topLinePunct/>
        <w:adjustRightInd/>
        <w:snapToGrid/>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主管税务机关对外公开的联系电话，可从</w:t>
      </w:r>
      <w:r>
        <w:rPr>
          <w:rFonts w:hint="eastAsia" w:ascii="宋体" w:hAnsi="宋体" w:eastAsia="宋体"/>
          <w:color w:val="auto"/>
          <w:sz w:val="24"/>
          <w:szCs w:val="24"/>
          <w:lang w:eastAsia="zh-CN"/>
        </w:rPr>
        <w:t>云南省税务局网站</w:t>
      </w:r>
      <w:r>
        <w:rPr>
          <w:rFonts w:hint="eastAsia" w:ascii="宋体" w:hAnsi="宋体" w:eastAsia="宋体"/>
          <w:color w:val="auto"/>
          <w:sz w:val="24"/>
          <w:szCs w:val="24"/>
        </w:rPr>
        <w:t>“纳税服务”栏目查询。</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【办理流程】</w:t>
      </w:r>
    </w:p>
    <w:p>
      <w:pPr>
        <w:pStyle w:val="40"/>
        <w:widowControl/>
        <w:kinsoku w:val="0"/>
        <w:topLinePunct/>
        <w:snapToGrid/>
        <w:spacing w:line="276" w:lineRule="auto"/>
        <w:ind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drawing>
          <wp:inline distT="0" distB="0" distL="114300" distR="114300">
            <wp:extent cx="5268595" cy="1781175"/>
            <wp:effectExtent l="0" t="0" r="4445" b="0"/>
            <wp:docPr id="2" name="图片 2"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纳税人流程图(即办）"/>
                    <pic:cNvPicPr>
                      <a:picLocks noChangeAspect="1"/>
                    </pic:cNvPicPr>
                  </pic:nvPicPr>
                  <pic:blipFill>
                    <a:blip r:embed="rId7"/>
                    <a:stretch>
                      <a:fillRect/>
                    </a:stretch>
                  </pic:blipFill>
                  <pic:spPr>
                    <a:xfrm>
                      <a:off x="0" y="0"/>
                      <a:ext cx="5268595" cy="1781175"/>
                    </a:xfrm>
                    <a:prstGeom prst="rect">
                      <a:avLst/>
                    </a:prstGeom>
                  </pic:spPr>
                </pic:pic>
              </a:graphicData>
            </a:graphic>
          </wp:inline>
        </w:drawing>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【纳税人注意事项】</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1</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纳税人对报送材料的真实性和合法性承担责任。</w:t>
      </w:r>
    </w:p>
    <w:p>
      <w:pPr>
        <w:widowControl/>
        <w:kinsoku w:val="0"/>
        <w:topLinePunct/>
        <w:adjustRightInd/>
        <w:snapToGrid/>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2</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税务机关提供“最多跑一次”服务。纳税人在资料完整且符合法定受理条件的前提下，最多只需要到税务机关跑一次。</w:t>
      </w:r>
    </w:p>
    <w:p>
      <w:pPr>
        <w:widowControl/>
        <w:kinsoku w:val="0"/>
        <w:topLinePunct/>
        <w:adjustRightInd/>
        <w:snapToGrid/>
        <w:spacing w:line="360" w:lineRule="auto"/>
        <w:ind w:firstLine="480" w:firstLineChars="200"/>
        <w:rPr>
          <w:rFonts w:hint="eastAsia" w:ascii="宋体" w:hAnsi="宋体" w:eastAsia="宋体"/>
          <w:color w:val="auto"/>
          <w:sz w:val="24"/>
          <w:szCs w:val="24"/>
          <w:lang w:eastAsia="zh-CN"/>
        </w:rPr>
      </w:pPr>
      <w:r>
        <w:rPr>
          <w:rFonts w:hint="eastAsia" w:ascii="宋体" w:hAnsi="宋体" w:eastAsia="宋体"/>
          <w:color w:val="auto"/>
          <w:sz w:val="24"/>
          <w:szCs w:val="24"/>
          <w:lang w:val="en-US" w:eastAsia="zh-CN"/>
        </w:rPr>
        <w:t>3</w:t>
      </w:r>
      <w:r>
        <w:rPr>
          <w:rFonts w:hint="eastAsia" w:ascii="宋体" w:hAnsi="宋体" w:eastAsia="宋体"/>
          <w:color w:val="auto"/>
          <w:sz w:val="24"/>
          <w:szCs w:val="24"/>
        </w:rPr>
        <w:t>.</w:t>
      </w:r>
      <w:r>
        <w:rPr>
          <w:rFonts w:hint="eastAsia" w:ascii="宋体" w:hAnsi="宋体" w:eastAsia="宋体"/>
          <w:color w:val="auto"/>
          <w:sz w:val="24"/>
          <w:szCs w:val="24"/>
          <w:lang w:eastAsia="zh-CN"/>
        </w:rPr>
        <w:t>纳税人使用符合电子签名法规定条件的电子签名，与手写签名或者盖章具有同等法律效力。</w:t>
      </w:r>
    </w:p>
    <w:p>
      <w:pPr>
        <w:widowControl/>
        <w:kinsoku w:val="0"/>
        <w:topLinePunct/>
        <w:adjustRightInd/>
        <w:snapToGrid/>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lang w:val="en-US" w:eastAsia="zh-CN"/>
        </w:rPr>
        <w:t>4</w:t>
      </w:r>
      <w:r>
        <w:rPr>
          <w:rFonts w:hint="eastAsia" w:ascii="宋体" w:hAnsi="宋体" w:eastAsia="宋体"/>
          <w:color w:val="auto"/>
          <w:sz w:val="24"/>
          <w:szCs w:val="24"/>
        </w:rPr>
        <w:t>.纳税人提供的各项资料为复印件的，均须注明“与原件一致”并签章。</w:t>
      </w:r>
    </w:p>
    <w:p>
      <w:pPr>
        <w:widowControl/>
        <w:kinsoku w:val="0"/>
        <w:topLinePunct/>
        <w:adjustRightInd/>
        <w:snapToGrid/>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lang w:val="en-US" w:eastAsia="zh-CN"/>
        </w:rPr>
        <w:t>5</w:t>
      </w:r>
      <w:r>
        <w:rPr>
          <w:rFonts w:hint="eastAsia" w:ascii="宋体" w:hAnsi="宋体" w:eastAsia="宋体"/>
          <w:color w:val="auto"/>
          <w:sz w:val="24"/>
          <w:szCs w:val="24"/>
        </w:rPr>
        <w:t>.税收完税证明分为表格式和文书式两种。按照【申请条件】中第1项、第2项、第3项以及</w:t>
      </w:r>
      <w:r>
        <w:rPr>
          <w:rFonts w:hint="eastAsia" w:ascii="宋体" w:hAnsi="宋体" w:eastAsia="宋体"/>
          <w:color w:val="auto"/>
          <w:sz w:val="24"/>
          <w:szCs w:val="24"/>
          <w:lang w:eastAsia="zh-CN"/>
        </w:rPr>
        <w:t>第</w:t>
      </w:r>
      <w:r>
        <w:rPr>
          <w:rFonts w:hint="eastAsia" w:ascii="宋体" w:hAnsi="宋体" w:eastAsia="宋体"/>
          <w:color w:val="auto"/>
          <w:sz w:val="24"/>
          <w:szCs w:val="24"/>
          <w:lang w:val="en-US" w:eastAsia="zh-CN"/>
        </w:rPr>
        <w:t>5</w:t>
      </w:r>
      <w:r>
        <w:rPr>
          <w:rFonts w:hint="eastAsia" w:ascii="宋体" w:hAnsi="宋体" w:eastAsia="宋体"/>
          <w:color w:val="auto"/>
          <w:sz w:val="24"/>
          <w:szCs w:val="24"/>
          <w:lang w:eastAsia="zh-CN"/>
        </w:rPr>
        <w:t>项</w:t>
      </w:r>
      <w:r>
        <w:rPr>
          <w:rFonts w:hint="eastAsia" w:ascii="宋体" w:hAnsi="宋体" w:eastAsia="宋体"/>
          <w:color w:val="auto"/>
          <w:sz w:val="24"/>
          <w:szCs w:val="24"/>
        </w:rPr>
        <w:t>开具的税收完税证明为表格式；按照第4项规定开具的税收完税证明为文书式，文书式税收完税证明不得作为纳税人的记账或抵扣凭证。</w:t>
      </w:r>
    </w:p>
    <w:p>
      <w:pPr>
        <w:widowControl/>
        <w:kinsoku w:val="0"/>
        <w:topLinePunct/>
        <w:adjustRightInd/>
        <w:snapToGrid/>
        <w:spacing w:line="360" w:lineRule="auto"/>
        <w:ind w:firstLine="480" w:firstLineChars="200"/>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6.</w:t>
      </w:r>
      <w:r>
        <w:rPr>
          <w:rFonts w:hint="eastAsia" w:ascii="宋体" w:hAnsi="宋体" w:eastAsia="宋体"/>
          <w:color w:val="auto"/>
          <w:sz w:val="24"/>
          <w:szCs w:val="24"/>
        </w:rPr>
        <w:t>【申请条件】中第2项所称扣缴义务人已经向纳税人开具的税法规定</w:t>
      </w:r>
      <w:r>
        <w:rPr>
          <w:rFonts w:hint="eastAsia" w:ascii="宋体" w:hAnsi="宋体" w:eastAsia="宋体"/>
          <w:color w:val="auto"/>
          <w:sz w:val="24"/>
          <w:szCs w:val="24"/>
          <w:lang w:eastAsia="zh-CN"/>
        </w:rPr>
        <w:t>和第</w:t>
      </w:r>
      <w:r>
        <w:rPr>
          <w:rFonts w:hint="eastAsia" w:ascii="宋体" w:hAnsi="宋体" w:eastAsia="宋体"/>
          <w:color w:val="auto"/>
          <w:sz w:val="24"/>
          <w:szCs w:val="24"/>
          <w:lang w:val="en-US" w:eastAsia="zh-CN"/>
        </w:rPr>
        <w:t>5项</w:t>
      </w:r>
      <w:r>
        <w:rPr>
          <w:rFonts w:hint="eastAsia" w:ascii="宋体" w:hAnsi="宋体" w:eastAsia="宋体"/>
          <w:color w:val="auto"/>
          <w:sz w:val="24"/>
          <w:szCs w:val="24"/>
        </w:rPr>
        <w:t>国家税务总局认可的记载完税情况的其他凭证，是指记载车船税完税情况的交强险保单、记载储蓄存款利息所得税完税情况的利息清单等税法或国家税务总局认可的能够作为已完税情况证明的凭证；第4项所称“对纳税人特定期间完税情况出具证明”，是指税务机关为纳税人连续期间的纳税情况汇总开具完税证明的情形。</w:t>
      </w:r>
    </w:p>
    <w:p>
      <w:pPr>
        <w:widowControl/>
        <w:kinsoku w:val="0"/>
        <w:topLinePunct/>
        <w:adjustRightInd/>
        <w:snapToGrid/>
        <w:spacing w:line="360" w:lineRule="auto"/>
        <w:ind w:firstLine="480" w:firstLineChars="200"/>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7</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个人所得税纳税人就税款所属期为2019年1月1日（含）以后缴（退）税情况申请开具证明的，税务机关为其开具个人所得税《纳税记录》，不再开具税收完税证明（文书式）。</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lang w:val="en-US" w:eastAsia="zh-CN"/>
        </w:rPr>
        <w:t>8</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纳税人遗失《出口货物完税分割单》、印花税票和《印花税票销售凭证》，不能重新开具。</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lang w:val="en-US" w:eastAsia="zh-CN"/>
        </w:rPr>
        <w:t>9</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扣缴义务人未按规定为纳税人开具税收票证的，税务机关核实税款缴纳情况后，应当为纳税人开具税收完税证明（表格式）。</w:t>
      </w:r>
    </w:p>
    <w:p>
      <w:pPr>
        <w:widowControl/>
        <w:kinsoku w:val="0"/>
        <w:topLinePunct/>
        <w:adjustRightInd/>
        <w:snapToGrid/>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lang w:val="en-US" w:eastAsia="zh-CN"/>
        </w:rPr>
        <w:t>10</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纳税人提供加盖开具单位的相关业务章戳并已注明扣收税款信息的“成交过户交割凭单”或“过户登记确认书”，可以向证券交易场所和证券登记结算机构所在地的主管税务机关申请出具</w:t>
      </w:r>
      <w:r>
        <w:rPr>
          <w:rFonts w:hint="eastAsia" w:ascii="宋体" w:hAnsi="宋体" w:eastAsia="宋体"/>
          <w:color w:val="auto"/>
          <w:sz w:val="24"/>
          <w:szCs w:val="24"/>
          <w:lang w:eastAsia="zh-CN"/>
        </w:rPr>
        <w:t>《</w:t>
      </w:r>
      <w:r>
        <w:rPr>
          <w:rFonts w:hint="eastAsia" w:ascii="宋体" w:hAnsi="宋体" w:eastAsia="宋体"/>
          <w:color w:val="auto"/>
          <w:sz w:val="24"/>
          <w:szCs w:val="24"/>
        </w:rPr>
        <w:t>税收完税证明</w:t>
      </w:r>
      <w:r>
        <w:rPr>
          <w:rFonts w:hint="eastAsia" w:ascii="宋体" w:hAnsi="宋体" w:eastAsia="宋体"/>
          <w:color w:val="auto"/>
          <w:sz w:val="24"/>
          <w:szCs w:val="24"/>
          <w:lang w:eastAsia="zh-CN"/>
        </w:rPr>
        <w:t>》</w:t>
      </w:r>
      <w:r>
        <w:rPr>
          <w:rFonts w:hint="eastAsia" w:ascii="宋体" w:hAnsi="宋体" w:eastAsia="宋体"/>
          <w:color w:val="auto"/>
          <w:sz w:val="24"/>
          <w:szCs w:val="24"/>
        </w:rPr>
        <w:t>。</w:t>
      </w:r>
    </w:p>
    <w:p>
      <w:pPr>
        <w:keepNext w:val="0"/>
        <w:widowControl/>
        <w:kinsoku w:val="0"/>
        <w:topLinePunct/>
        <w:adjustRightInd/>
        <w:snapToGrid/>
        <w:spacing w:beforeLines="300" w:afterLines="100"/>
        <w:ind w:firstLine="510"/>
        <w:outlineLvl w:val="2"/>
        <w:rPr>
          <w:rFonts w:ascii="Times New Roman" w:hAnsi="Times New Roman" w:eastAsia="黑体" w:cs="Times New Roman"/>
          <w:b/>
          <w:bCs/>
          <w:color w:val="auto"/>
          <w:kern w:val="24"/>
          <w:sz w:val="28"/>
          <w:szCs w:val="28"/>
        </w:rPr>
      </w:pPr>
      <w:r>
        <w:rPr>
          <w:rFonts w:hint="eastAsia" w:ascii="Times New Roman" w:hAnsi="Times New Roman" w:eastAsia="黑体" w:cs="Times New Roman"/>
          <w:b/>
          <w:bCs/>
          <w:color w:val="auto"/>
          <w:kern w:val="24"/>
          <w:sz w:val="28"/>
          <w:szCs w:val="28"/>
        </w:rPr>
        <w:t>5</w:t>
      </w:r>
      <w:r>
        <w:rPr>
          <w:rFonts w:hint="eastAsia" w:ascii="Times New Roman" w:hAnsi="Times New Roman" w:eastAsia="黑体" w:cs="Times New Roman"/>
          <w:b/>
          <w:bCs/>
          <w:color w:val="auto"/>
          <w:kern w:val="24"/>
          <w:sz w:val="28"/>
          <w:szCs w:val="28"/>
          <w:lang w:eastAsia="zh-CN"/>
        </w:rPr>
        <w:t>.</w:t>
      </w:r>
      <w:r>
        <w:rPr>
          <w:rFonts w:ascii="Times New Roman" w:hAnsi="Times New Roman" w:eastAsia="黑体" w:cs="Times New Roman"/>
          <w:b/>
          <w:bCs/>
          <w:color w:val="auto"/>
          <w:kern w:val="24"/>
          <w:sz w:val="28"/>
          <w:szCs w:val="28"/>
        </w:rPr>
        <w:t>1</w:t>
      </w:r>
      <w:r>
        <w:rPr>
          <w:rFonts w:hint="eastAsia" w:ascii="Times New Roman" w:hAnsi="Times New Roman" w:eastAsia="黑体" w:cs="Times New Roman"/>
          <w:b/>
          <w:bCs/>
          <w:color w:val="auto"/>
          <w:kern w:val="24"/>
          <w:sz w:val="28"/>
          <w:szCs w:val="28"/>
          <w:lang w:eastAsia="zh-CN"/>
        </w:rPr>
        <w:t>.</w:t>
      </w:r>
      <w:r>
        <w:rPr>
          <w:rFonts w:ascii="Times New Roman" w:hAnsi="Times New Roman" w:eastAsia="黑体" w:cs="Times New Roman"/>
          <w:b/>
          <w:bCs/>
          <w:color w:val="auto"/>
          <w:kern w:val="24"/>
          <w:sz w:val="28"/>
          <w:szCs w:val="28"/>
        </w:rPr>
        <w:t>2—</w:t>
      </w:r>
      <w:r>
        <w:rPr>
          <w:rFonts w:hint="eastAsia" w:ascii="Times New Roman" w:hAnsi="Times New Roman" w:eastAsia="黑体" w:cs="Times New Roman"/>
          <w:b/>
          <w:bCs/>
          <w:color w:val="auto"/>
          <w:kern w:val="24"/>
          <w:sz w:val="28"/>
          <w:szCs w:val="28"/>
        </w:rPr>
        <w:t>1</w:t>
      </w:r>
      <w:r>
        <w:rPr>
          <w:rFonts w:hint="eastAsia" w:ascii="Times New Roman" w:hAnsi="Times New Roman" w:eastAsia="黑体" w:cs="Times New Roman"/>
          <w:b/>
          <w:bCs/>
          <w:color w:val="auto"/>
          <w:kern w:val="24"/>
          <w:sz w:val="28"/>
          <w:szCs w:val="28"/>
          <w:lang w:val="en-US" w:eastAsia="zh-CN"/>
        </w:rPr>
        <w:t>30</w:t>
      </w:r>
      <w:r>
        <w:rPr>
          <w:rFonts w:hint="eastAsia" w:ascii="Times New Roman" w:hAnsi="Times New Roman" w:eastAsia="黑体" w:cs="Times New Roman"/>
          <w:b/>
          <w:bCs/>
          <w:color w:val="auto"/>
          <w:kern w:val="24"/>
          <w:sz w:val="28"/>
          <w:szCs w:val="28"/>
        </w:rPr>
        <w:t>　开具个人所得税纳税记录</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【事项名称】</w:t>
      </w:r>
    </w:p>
    <w:p>
      <w:pPr>
        <w:widowControl/>
        <w:kinsoku w:val="0"/>
        <w:topLinePunct/>
        <w:adjustRightInd/>
        <w:snapToGrid/>
        <w:spacing w:line="360" w:lineRule="auto"/>
        <w:ind w:firstLine="480" w:firstLineChars="200"/>
        <w:rPr>
          <w:rFonts w:hint="eastAsia" w:ascii="宋体" w:hAnsi="宋体" w:eastAsia="宋体"/>
          <w:color w:val="auto"/>
          <w:sz w:val="24"/>
          <w:szCs w:val="24"/>
        </w:rPr>
      </w:pPr>
      <w:r>
        <w:rPr>
          <w:rFonts w:hint="eastAsia" w:ascii="宋体" w:hAnsi="宋体" w:eastAsia="宋体"/>
          <w:color w:val="auto"/>
          <w:sz w:val="24"/>
          <w:szCs w:val="24"/>
        </w:rPr>
        <w:t>开具个人所得税纳税记录</w:t>
      </w:r>
    </w:p>
    <w:p>
      <w:pPr>
        <w:widowControl/>
        <w:kinsoku w:val="0"/>
        <w:topLinePunct/>
        <w:adjustRightInd/>
        <w:snapToGrid/>
        <w:spacing w:line="360" w:lineRule="auto"/>
        <w:ind w:firstLine="480" w:firstLineChars="200"/>
        <w:rPr>
          <w:rFonts w:hint="eastAsia" w:ascii="宋体" w:hAnsi="宋体" w:eastAsia="宋体"/>
          <w:color w:val="auto"/>
          <w:sz w:val="24"/>
          <w:szCs w:val="24"/>
          <w:lang w:eastAsia="zh-CN"/>
        </w:rPr>
      </w:pPr>
      <w:r>
        <w:rPr>
          <w:rFonts w:hint="eastAsia" w:ascii="宋体" w:hAnsi="宋体" w:eastAsia="宋体"/>
          <w:color w:val="auto"/>
          <w:sz w:val="24"/>
          <w:szCs w:val="24"/>
          <w:lang w:eastAsia="zh-CN"/>
        </w:rPr>
        <w:t>【申请条件】</w:t>
      </w:r>
    </w:p>
    <w:p>
      <w:pPr>
        <w:widowControl/>
        <w:kinsoku w:val="0"/>
        <w:topLinePunct/>
        <w:adjustRightInd/>
        <w:snapToGrid/>
        <w:spacing w:line="360" w:lineRule="auto"/>
        <w:ind w:firstLine="480" w:firstLineChars="200"/>
        <w:rPr>
          <w:rFonts w:hint="eastAsia" w:ascii="宋体" w:hAnsi="宋体" w:eastAsia="宋体"/>
          <w:color w:val="auto"/>
          <w:sz w:val="24"/>
          <w:szCs w:val="24"/>
          <w:lang w:eastAsia="zh-CN"/>
        </w:rPr>
      </w:pPr>
      <w:r>
        <w:rPr>
          <w:rFonts w:hint="eastAsia" w:ascii="宋体" w:hAnsi="宋体" w:eastAsia="宋体"/>
          <w:color w:val="auto"/>
          <w:sz w:val="24"/>
          <w:szCs w:val="24"/>
        </w:rPr>
        <w:t>纳税人2019年1月1日以后取得个人所得税应税所得并由扣缴义务人向税务机关办理了全员全额扣缴申报，或根据税法规定自行向税务机关办理纳税申报的，不论是否实际缴纳税款，均可以申请开具个人所得税《纳税记录》。</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【设定依据】</w:t>
      </w:r>
    </w:p>
    <w:p>
      <w:pPr>
        <w:widowControl/>
        <w:kinsoku w:val="0"/>
        <w:topLinePunct/>
        <w:adjustRightInd/>
        <w:snapToGrid/>
        <w:spacing w:line="360" w:lineRule="auto"/>
        <w:ind w:firstLine="480" w:firstLineChars="200"/>
        <w:rPr>
          <w:rFonts w:hint="eastAsia" w:ascii="宋体" w:hAnsi="宋体" w:eastAsia="宋体"/>
          <w:color w:val="auto"/>
          <w:sz w:val="24"/>
          <w:szCs w:val="24"/>
          <w:lang w:eastAsia="zh-CN"/>
        </w:rPr>
      </w:pPr>
      <w:r>
        <w:rPr>
          <w:rFonts w:hint="eastAsia" w:ascii="宋体" w:hAnsi="宋体" w:eastAsia="宋体"/>
          <w:color w:val="auto"/>
          <w:sz w:val="24"/>
          <w:szCs w:val="24"/>
        </w:rPr>
        <w:t>《国家税务总局关于将个人所得税〈税收完税证明〉（文书式）调整为〈纳税记录〉有关事项的公告》（国家税务总局公告2018年第55号）</w:t>
      </w:r>
      <w:r>
        <w:rPr>
          <w:rFonts w:hint="eastAsia" w:ascii="宋体" w:hAnsi="宋体" w:eastAsia="宋体"/>
          <w:color w:val="auto"/>
          <w:sz w:val="24"/>
          <w:szCs w:val="24"/>
          <w:lang w:eastAsia="zh-CN"/>
        </w:rPr>
        <w:t>第一条</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【办理材料】</w:t>
      </w:r>
    </w:p>
    <w:tbl>
      <w:tblPr>
        <w:tblStyle w:val="17"/>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740"/>
        <w:gridCol w:w="2795"/>
        <w:gridCol w:w="680"/>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序号</w:t>
            </w:r>
          </w:p>
        </w:tc>
        <w:tc>
          <w:tcPr>
            <w:tcW w:w="4535"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eastAsia="黑体" w:cs="Times New Roman"/>
                <w:color w:val="auto"/>
                <w:sz w:val="18"/>
                <w:szCs w:val="18"/>
              </w:rPr>
              <w:t>1</w:t>
            </w:r>
          </w:p>
        </w:tc>
        <w:tc>
          <w:tcPr>
            <w:tcW w:w="45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身份证件原件</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eastAsia" w:ascii="黑体" w:hAnsi="黑体" w:eastAsia="黑体" w:cs="Microsoft Himalaya"/>
                <w:color w:val="auto"/>
                <w:sz w:val="18"/>
                <w:szCs w:val="18"/>
                <w:lang w:val="en-US" w:eastAsia="zh-CN"/>
              </w:rPr>
            </w:pPr>
            <w:r>
              <w:rPr>
                <w:rFonts w:hint="eastAsia" w:ascii="黑体" w:hAnsi="黑体" w:eastAsia="黑体" w:cs="Microsoft Himalaya"/>
                <w:color w:val="auto"/>
                <w:sz w:val="18"/>
                <w:szCs w:val="18"/>
                <w:lang w:val="en-US" w:eastAsia="zh-CN"/>
              </w:rPr>
              <w:t>1份</w:t>
            </w: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8164"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21"/>
                <w:szCs w:val="21"/>
                <w:lang w:val="zh-CN"/>
              </w:rPr>
            </w:pPr>
            <w:r>
              <w:rPr>
                <w:rFonts w:hint="eastAsia" w:ascii="黑体" w:hAnsi="黑体" w:eastAsia="黑体" w:cs="Times New Roman"/>
                <w:color w:val="auto"/>
                <w:sz w:val="21"/>
                <w:szCs w:val="21"/>
                <w:lang w:val="zh-CN"/>
              </w:rPr>
              <w:t>有以下情形的，还应提供相应材料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2420"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适用情形</w:t>
            </w:r>
          </w:p>
        </w:tc>
        <w:tc>
          <w:tcPr>
            <w:tcW w:w="279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材料名称</w:t>
            </w:r>
          </w:p>
        </w:tc>
        <w:tc>
          <w:tcPr>
            <w:tcW w:w="680"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数量</w:t>
            </w:r>
          </w:p>
        </w:tc>
        <w:tc>
          <w:tcPr>
            <w:tcW w:w="226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2420" w:type="dxa"/>
            <w:gridSpan w:val="2"/>
            <w:vMerge w:val="restart"/>
            <w:tcBorders>
              <w:top w:val="single" w:color="auto" w:sz="4" w:space="0"/>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委托他人代为开具</w:t>
            </w:r>
          </w:p>
        </w:tc>
        <w:tc>
          <w:tcPr>
            <w:tcW w:w="2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受托人身份证件原件</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default" w:ascii="黑体" w:hAnsi="黑体" w:eastAsia="黑体" w:cs="Microsoft Himalaya"/>
                <w:color w:val="auto"/>
                <w:sz w:val="18"/>
                <w:szCs w:val="18"/>
                <w:lang w:val="en-US" w:eastAsia="zh-CN"/>
              </w:rPr>
              <w:t>1份</w:t>
            </w: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2" w:hRule="exact"/>
          <w:jc w:val="center"/>
        </w:trPr>
        <w:tc>
          <w:tcPr>
            <w:tcW w:w="2420" w:type="dxa"/>
            <w:gridSpan w:val="2"/>
            <w:vMerge w:val="continue"/>
            <w:tcBorders>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p>
        </w:tc>
        <w:tc>
          <w:tcPr>
            <w:tcW w:w="2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eastAsia" w:ascii="黑体" w:hAnsi="黑体" w:eastAsia="黑体" w:cs="Microsoft Himalaya"/>
                <w:color w:val="auto"/>
                <w:sz w:val="18"/>
                <w:szCs w:val="18"/>
                <w:lang w:eastAsia="zh-CN"/>
              </w:rPr>
            </w:pPr>
            <w:r>
              <w:rPr>
                <w:rFonts w:hint="eastAsia" w:ascii="黑体" w:hAnsi="黑体" w:eastAsia="黑体" w:cs="Microsoft Himalaya"/>
                <w:color w:val="auto"/>
                <w:sz w:val="18"/>
                <w:szCs w:val="18"/>
              </w:rPr>
              <w:t>委托人书面授权资料</w:t>
            </w:r>
          </w:p>
        </w:tc>
        <w:tc>
          <w:tcPr>
            <w:tcW w:w="6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1份</w:t>
            </w:r>
          </w:p>
        </w:tc>
        <w:tc>
          <w:tcPr>
            <w:tcW w:w="22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p>
        </w:tc>
      </w:tr>
    </w:tbl>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【办理地点】</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可通过办税服务厅（场所）、自然人税收管理系统（WEB端、APP端）、自助办税终端办理，</w:t>
      </w:r>
      <w:r>
        <w:rPr>
          <w:rFonts w:hint="eastAsia" w:ascii="宋体" w:hAnsi="宋体" w:eastAsia="宋体" w:cstheme="minorBidi"/>
          <w:color w:val="auto"/>
          <w:sz w:val="24"/>
          <w:szCs w:val="24"/>
        </w:rPr>
        <w:t>具体地点可从</w:t>
      </w:r>
      <w:r>
        <w:rPr>
          <w:rFonts w:hint="eastAsia" w:ascii="宋体" w:hAnsi="宋体" w:eastAsia="宋体" w:cstheme="minorBidi"/>
          <w:color w:val="auto"/>
          <w:sz w:val="24"/>
          <w:szCs w:val="24"/>
          <w:lang w:eastAsia="zh-CN"/>
        </w:rPr>
        <w:t>云南省税务局网站</w:t>
      </w:r>
      <w:r>
        <w:rPr>
          <w:rFonts w:hint="eastAsia" w:ascii="宋体" w:hAnsi="宋体" w:eastAsia="宋体" w:cstheme="minorBidi"/>
          <w:color w:val="auto"/>
          <w:sz w:val="24"/>
          <w:szCs w:val="24"/>
        </w:rPr>
        <w:t>“纳税服务”栏目查询</w:t>
      </w:r>
      <w:r>
        <w:rPr>
          <w:rFonts w:hint="eastAsia" w:ascii="宋体" w:hAnsi="宋体" w:eastAsia="宋体"/>
          <w:color w:val="auto"/>
          <w:sz w:val="24"/>
          <w:szCs w:val="24"/>
        </w:rPr>
        <w:t>。</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【办理机构】</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主管税务机关</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【收费标准】</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不收费</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【办理时间】</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即时办结</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【联系电话】</w:t>
      </w:r>
    </w:p>
    <w:p>
      <w:pPr>
        <w:widowControl/>
        <w:kinsoku w:val="0"/>
        <w:topLinePunct/>
        <w:adjustRightInd/>
        <w:snapToGrid/>
        <w:spacing w:line="360" w:lineRule="auto"/>
        <w:ind w:firstLine="480" w:firstLineChars="200"/>
        <w:rPr>
          <w:rFonts w:hint="eastAsia" w:ascii="黑体" w:hAnsi="黑体" w:eastAsia="黑体" w:cs="Times New Roman"/>
          <w:bCs/>
          <w:color w:val="auto"/>
          <w:sz w:val="24"/>
          <w:szCs w:val="24"/>
        </w:rPr>
      </w:pPr>
      <w:r>
        <w:rPr>
          <w:rFonts w:hint="eastAsia" w:ascii="宋体" w:hAnsi="宋体" w:eastAsia="宋体" w:cstheme="minorBidi"/>
          <w:color w:val="auto"/>
          <w:sz w:val="24"/>
          <w:szCs w:val="24"/>
        </w:rPr>
        <w:t>主管税务机关对外公开的联系电话，可从</w:t>
      </w:r>
      <w:r>
        <w:rPr>
          <w:rFonts w:hint="eastAsia" w:ascii="宋体" w:hAnsi="宋体" w:eastAsia="宋体" w:cstheme="minorBidi"/>
          <w:color w:val="auto"/>
          <w:sz w:val="24"/>
          <w:szCs w:val="24"/>
          <w:lang w:eastAsia="zh-CN"/>
        </w:rPr>
        <w:t>云南省税务局网站</w:t>
      </w:r>
      <w:r>
        <w:rPr>
          <w:rFonts w:hint="eastAsia" w:ascii="宋体" w:hAnsi="宋体" w:eastAsia="宋体" w:cstheme="minorBidi"/>
          <w:color w:val="auto"/>
          <w:sz w:val="24"/>
          <w:szCs w:val="24"/>
        </w:rPr>
        <w:t>“纳税服务”栏目查询</w:t>
      </w:r>
      <w:r>
        <w:rPr>
          <w:rFonts w:hint="eastAsia" w:ascii="宋体" w:hAnsi="宋体" w:eastAsia="宋体"/>
          <w:color w:val="auto"/>
          <w:sz w:val="24"/>
          <w:szCs w:val="24"/>
        </w:rPr>
        <w:t>。</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【办理流程】</w:t>
      </w:r>
    </w:p>
    <w:p>
      <w:pPr>
        <w:widowControl/>
        <w:kinsoku w:val="0"/>
        <w:topLinePunct/>
        <w:adjustRightInd/>
        <w:snapToGrid/>
        <w:spacing w:line="360" w:lineRule="auto"/>
        <w:ind w:firstLine="0" w:firstLineChars="0"/>
        <w:rPr>
          <w:rFonts w:hint="eastAsia" w:ascii="宋体" w:hAnsi="宋体" w:eastAsia="宋体"/>
          <w:color w:val="auto"/>
          <w:sz w:val="24"/>
          <w:szCs w:val="24"/>
          <w:lang w:val="en-US" w:eastAsia="zh-CN"/>
        </w:rPr>
      </w:pPr>
      <w:r>
        <w:rPr>
          <w:rFonts w:hint="eastAsia" w:ascii="仿宋" w:hAnsi="仿宋" w:eastAsia="仿宋" w:cs="仿宋"/>
          <w:color w:val="auto"/>
          <w:sz w:val="24"/>
          <w:szCs w:val="24"/>
          <w:lang w:eastAsia="zh-CN"/>
        </w:rPr>
        <w:drawing>
          <wp:inline distT="0" distB="0" distL="114300" distR="114300">
            <wp:extent cx="5268595" cy="1781175"/>
            <wp:effectExtent l="0" t="0" r="8255" b="0"/>
            <wp:docPr id="1" name="图片 1" descr="纳税人流程图(即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纳税人流程图(即办）"/>
                    <pic:cNvPicPr>
                      <a:picLocks noChangeAspect="1"/>
                    </pic:cNvPicPr>
                  </pic:nvPicPr>
                  <pic:blipFill>
                    <a:blip r:embed="rId7"/>
                    <a:stretch>
                      <a:fillRect/>
                    </a:stretch>
                  </pic:blipFill>
                  <pic:spPr>
                    <a:xfrm>
                      <a:off x="0" y="0"/>
                      <a:ext cx="5268595" cy="1781175"/>
                    </a:xfrm>
                    <a:prstGeom prst="rect">
                      <a:avLst/>
                    </a:prstGeom>
                  </pic:spPr>
                </pic:pic>
              </a:graphicData>
            </a:graphic>
          </wp:inline>
        </w:drawing>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【纳税人注意事项】</w:t>
      </w:r>
    </w:p>
    <w:p>
      <w:pPr>
        <w:widowControl/>
        <w:kinsoku w:val="0"/>
        <w:topLinePunct/>
        <w:adjustRightInd/>
        <w:snapToGrid/>
        <w:spacing w:beforeLines="0" w:afterLines="0"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1.纳税人对报送材料的真实性和合法性承担责任。</w:t>
      </w:r>
    </w:p>
    <w:p>
      <w:pPr>
        <w:widowControl/>
        <w:kinsoku w:val="0"/>
        <w:topLinePunct/>
        <w:adjustRightInd/>
        <w:snapToGrid/>
        <w:spacing w:beforeLines="0" w:afterLines="0"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2.税务机关提供“最多跑一次”服务。纳税人在资料完整且符合法定受理条件的前提下，最多只需要到税务机关跑一次。</w:t>
      </w:r>
    </w:p>
    <w:p>
      <w:pPr>
        <w:widowControl/>
        <w:kinsoku w:val="0"/>
        <w:topLinePunct/>
        <w:adjustRightInd/>
        <w:snapToGrid/>
        <w:spacing w:beforeLines="0" w:afterLines="0"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3.纳税人使用符合电子签名法规定条件的电子签名，与手写签名或者盖章具有同等法律效力。</w:t>
      </w:r>
    </w:p>
    <w:p>
      <w:pPr>
        <w:widowControl/>
        <w:kinsoku w:val="0"/>
        <w:topLinePunct/>
        <w:adjustRightInd/>
        <w:snapToGrid/>
        <w:spacing w:beforeLines="0" w:afterLines="0"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4.个人所得税税款所属期为2019年1月1日（含）以后的，税务机关开具个人所得税《纳税记录》；税款所属期为2018年12月31日（含）以前的，税务机关开具个人所得税《税收完税证明》（文书式）。</w:t>
      </w:r>
    </w:p>
    <w:p>
      <w:pPr>
        <w:widowControl/>
        <w:kinsoku w:val="0"/>
        <w:topLinePunct/>
        <w:adjustRightInd/>
        <w:snapToGrid/>
        <w:spacing w:beforeLines="0" w:afterLines="0"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5.个人所得税《纳税记录》涉及纳税人敏感信息，请妥善保存。</w:t>
      </w:r>
    </w:p>
    <w:p>
      <w:pPr>
        <w:widowControl/>
        <w:kinsoku w:val="0"/>
        <w:topLinePunct/>
        <w:adjustRightInd/>
        <w:snapToGrid/>
        <w:spacing w:beforeLines="0" w:afterLines="0"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6.纳税人对个人所得税《纳税记录》存在异议的，可以向该项记录中列明的税务机关申请核实。</w:t>
      </w:r>
    </w:p>
    <w:p>
      <w:pPr>
        <w:widowControl/>
        <w:kinsoku w:val="0"/>
        <w:topLinePunct/>
        <w:adjustRightInd/>
        <w:snapToGrid/>
        <w:spacing w:beforeLines="0" w:afterLines="0"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7.税务机关提供两种个人所得税《纳税记录》验证服务。一是通过手机APP扫描个人所得税《纳税记录》中的二维码进行验证；二是通过自然人税收管理系统输入个人所得税《纳税记录》中的验证码进行验证。</w:t>
      </w:r>
    </w:p>
    <w:p>
      <w:pPr>
        <w:widowControl/>
        <w:kinsoku w:val="0"/>
        <w:topLinePunct/>
        <w:adjustRightInd/>
        <w:snapToGrid/>
        <w:spacing w:beforeLines="0" w:afterLines="0"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8.个人所得税《纳税记录》因不同打印设备造成的色差，不影响使用效力。</w:t>
      </w:r>
    </w:p>
    <w:p>
      <w:pPr>
        <w:widowControl/>
        <w:kinsoku w:val="0"/>
        <w:topLinePunct/>
        <w:adjustRightInd/>
        <w:snapToGrid/>
        <w:spacing w:beforeLines="0" w:afterLines="0" w:line="360" w:lineRule="auto"/>
        <w:ind w:firstLine="480" w:firstLineChars="0"/>
        <w:jc w:val="left"/>
        <w:rPr>
          <w:rFonts w:ascii="宋体" w:hAnsi="宋体" w:eastAsia="宋体"/>
          <w:color w:val="auto"/>
          <w:kern w:val="0"/>
          <w:szCs w:val="21"/>
        </w:rPr>
      </w:pPr>
      <w:r>
        <w:rPr>
          <w:rFonts w:hint="eastAsia" w:ascii="宋体" w:hAnsi="宋体" w:eastAsia="宋体"/>
          <w:color w:val="auto"/>
          <w:sz w:val="24"/>
          <w:szCs w:val="24"/>
          <w:lang w:val="en-US" w:eastAsia="zh-CN"/>
        </w:rPr>
        <w:t>9.个人所得税《纳税记录》不作纳税人记账、抵扣凭证。</w:t>
      </w:r>
    </w:p>
    <w:p>
      <w:pPr>
        <w:keepNext w:val="0"/>
        <w:widowControl/>
        <w:kinsoku w:val="0"/>
        <w:topLinePunct/>
        <w:adjustRightInd/>
        <w:snapToGrid/>
        <w:spacing w:beforeLines="300" w:afterLines="100"/>
        <w:ind w:firstLine="510"/>
        <w:outlineLvl w:val="2"/>
        <w:rPr>
          <w:rFonts w:hint="eastAsia" w:ascii="Times New Roman" w:hAnsi="Times New Roman" w:eastAsia="黑体" w:cs="Times New Roman"/>
          <w:b/>
          <w:bCs/>
          <w:color w:val="auto"/>
          <w:kern w:val="24"/>
          <w:sz w:val="28"/>
          <w:szCs w:val="28"/>
        </w:rPr>
      </w:pPr>
      <w:r>
        <w:rPr>
          <w:rFonts w:hint="eastAsia" w:ascii="Times New Roman" w:hAnsi="Times New Roman" w:eastAsia="黑体" w:cs="Times New Roman"/>
          <w:b/>
          <w:bCs/>
          <w:color w:val="auto"/>
          <w:kern w:val="24"/>
          <w:sz w:val="28"/>
          <w:szCs w:val="28"/>
        </w:rPr>
        <w:t>5</w:t>
      </w:r>
      <w:r>
        <w:rPr>
          <w:rFonts w:hint="eastAsia" w:ascii="Times New Roman" w:hAnsi="Times New Roman" w:eastAsia="黑体" w:cs="Times New Roman"/>
          <w:b/>
          <w:bCs/>
          <w:color w:val="auto"/>
          <w:kern w:val="24"/>
          <w:sz w:val="28"/>
          <w:szCs w:val="28"/>
          <w:lang w:eastAsia="zh-CN"/>
        </w:rPr>
        <w:t>.</w:t>
      </w:r>
      <w:r>
        <w:rPr>
          <w:rFonts w:hint="eastAsia" w:ascii="Times New Roman" w:hAnsi="Times New Roman" w:eastAsia="黑体" w:cs="Times New Roman"/>
          <w:b/>
          <w:bCs/>
          <w:color w:val="auto"/>
          <w:kern w:val="24"/>
          <w:sz w:val="28"/>
          <w:szCs w:val="28"/>
        </w:rPr>
        <w:t>1</w:t>
      </w:r>
      <w:r>
        <w:rPr>
          <w:rFonts w:hint="eastAsia" w:ascii="Times New Roman" w:hAnsi="Times New Roman" w:eastAsia="黑体" w:cs="Times New Roman"/>
          <w:b/>
          <w:bCs/>
          <w:color w:val="auto"/>
          <w:kern w:val="24"/>
          <w:sz w:val="28"/>
          <w:szCs w:val="28"/>
          <w:lang w:eastAsia="zh-CN"/>
        </w:rPr>
        <w:t>.</w:t>
      </w:r>
      <w:r>
        <w:rPr>
          <w:rFonts w:hint="eastAsia" w:ascii="Times New Roman" w:hAnsi="Times New Roman" w:eastAsia="黑体" w:cs="Times New Roman"/>
          <w:b/>
          <w:bCs/>
          <w:color w:val="auto"/>
          <w:kern w:val="24"/>
          <w:sz w:val="28"/>
          <w:szCs w:val="28"/>
          <w:lang w:val="en-US" w:eastAsia="zh-CN"/>
        </w:rPr>
        <w:t>3</w:t>
      </w:r>
      <w:r>
        <w:rPr>
          <w:rFonts w:hint="eastAsia" w:ascii="Times New Roman" w:hAnsi="Times New Roman" w:eastAsia="黑体" w:cs="Times New Roman"/>
          <w:b/>
          <w:bCs/>
          <w:color w:val="auto"/>
          <w:kern w:val="24"/>
          <w:sz w:val="28"/>
          <w:szCs w:val="28"/>
        </w:rPr>
        <w:t>—1</w:t>
      </w:r>
      <w:r>
        <w:rPr>
          <w:rFonts w:hint="eastAsia" w:ascii="Times New Roman" w:hAnsi="Times New Roman" w:eastAsia="黑体" w:cs="Times New Roman"/>
          <w:b/>
          <w:bCs/>
          <w:color w:val="auto"/>
          <w:kern w:val="24"/>
          <w:sz w:val="28"/>
          <w:szCs w:val="28"/>
          <w:lang w:val="en-US" w:eastAsia="zh-CN"/>
        </w:rPr>
        <w:t>31</w:t>
      </w:r>
      <w:r>
        <w:rPr>
          <w:rFonts w:hint="eastAsia" w:ascii="Times New Roman" w:hAnsi="Times New Roman" w:eastAsia="黑体" w:cs="Times New Roman"/>
          <w:b/>
          <w:bCs/>
          <w:color w:val="auto"/>
          <w:kern w:val="24"/>
          <w:sz w:val="28"/>
          <w:szCs w:val="28"/>
        </w:rPr>
        <w:t>　</w:t>
      </w:r>
      <w:r>
        <w:rPr>
          <w:rFonts w:hint="eastAsia" w:ascii="Times New Roman" w:hAnsi="Times New Roman" w:eastAsia="黑体" w:cs="Times New Roman"/>
          <w:b/>
          <w:bCs/>
          <w:color w:val="auto"/>
          <w:kern w:val="24"/>
          <w:sz w:val="28"/>
          <w:szCs w:val="28"/>
          <w:lang w:val="en-US" w:eastAsia="zh-CN"/>
        </w:rPr>
        <w:t>转开印花税票销售凭证</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【事项名称】</w:t>
      </w:r>
    </w:p>
    <w:p>
      <w:pPr>
        <w:widowControl/>
        <w:kinsoku w:val="0"/>
        <w:topLinePunct/>
        <w:adjustRightInd/>
        <w:snapToGrid/>
        <w:spacing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转开印花税票销售凭证</w:t>
      </w:r>
    </w:p>
    <w:p>
      <w:pPr>
        <w:widowControl/>
        <w:kinsoku w:val="0"/>
        <w:topLinePunct/>
        <w:adjustRightInd/>
        <w:snapToGrid/>
        <w:spacing w:line="360" w:lineRule="auto"/>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【申请条件】</w:t>
      </w:r>
    </w:p>
    <w:p>
      <w:pPr>
        <w:widowControl/>
        <w:kinsoku w:val="0"/>
        <w:topLinePunct/>
        <w:adjustRightInd/>
        <w:snapToGrid/>
        <w:spacing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stheme="minorBidi"/>
          <w:b w:val="0"/>
          <w:i w:val="0"/>
          <w:caps w:val="0"/>
          <w:color w:val="auto"/>
          <w:spacing w:val="0"/>
          <w:sz w:val="24"/>
          <w:szCs w:val="24"/>
        </w:rPr>
        <w:t>纳税人通过横向联网方式完成印花税款的缴纳或退还后，向主管税务机关申请开具《中华人民共和国印花税票销售凭证》（证明凭证）。</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【设定依据】</w:t>
      </w:r>
    </w:p>
    <w:p>
      <w:pPr>
        <w:widowControl/>
        <w:numPr>
          <w:ilvl w:val="-1"/>
          <w:numId w:val="0"/>
        </w:numPr>
        <w:kinsoku w:val="0"/>
        <w:topLinePunct/>
        <w:adjustRightInd/>
        <w:snapToGrid/>
        <w:spacing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1.《中华人民共和国印花税暂行条例》第五条</w:t>
      </w:r>
    </w:p>
    <w:p>
      <w:pPr>
        <w:widowControl/>
        <w:numPr>
          <w:ilvl w:val="-1"/>
          <w:numId w:val="0"/>
        </w:numPr>
        <w:kinsoku w:val="0"/>
        <w:topLinePunct/>
        <w:adjustRightInd/>
        <w:snapToGrid/>
        <w:spacing w:line="360" w:lineRule="auto"/>
        <w:ind w:firstLine="480" w:firstLineChars="200"/>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2.《税收票证管理办法》（国家税务总局令第28号公布，国家税务总局令第48号修改）第十六条</w:t>
      </w:r>
    </w:p>
    <w:p>
      <w:pPr>
        <w:widowControl/>
        <w:numPr>
          <w:ilvl w:val="-1"/>
          <w:numId w:val="0"/>
        </w:numPr>
        <w:kinsoku w:val="0"/>
        <w:topLinePunct/>
        <w:adjustRightInd/>
        <w:snapToGrid/>
        <w:spacing w:line="360" w:lineRule="auto"/>
        <w:ind w:firstLine="480" w:firstLineChars="200"/>
        <w:rPr>
          <w:rFonts w:hint="eastAsia" w:ascii="宋体" w:hAnsi="宋体" w:eastAsia="宋体" w:cs="宋体"/>
          <w:bCs w:val="0"/>
          <w:color w:val="auto"/>
          <w:sz w:val="28"/>
          <w:szCs w:val="28"/>
        </w:rPr>
      </w:pPr>
      <w:r>
        <w:rPr>
          <w:rFonts w:hint="eastAsia" w:ascii="宋体" w:hAnsi="宋体" w:eastAsia="宋体"/>
          <w:color w:val="auto"/>
          <w:sz w:val="24"/>
          <w:szCs w:val="24"/>
          <w:lang w:val="en-US" w:eastAsia="zh-CN"/>
        </w:rPr>
        <w:t>3.《国家税务总局关于实施〈税收票证管理办法〉若干问题的公告》（国家税务总局公告2013年第34号）第二条第四项</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【办理材料】</w:t>
      </w:r>
    </w:p>
    <w:tbl>
      <w:tblPr>
        <w:tblStyle w:val="17"/>
        <w:tblW w:w="81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3418"/>
        <w:gridCol w:w="792"/>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exact"/>
          <w:jc w:val="center"/>
        </w:trPr>
        <w:tc>
          <w:tcPr>
            <w:tcW w:w="2381"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适用情形</w:t>
            </w:r>
          </w:p>
        </w:tc>
        <w:tc>
          <w:tcPr>
            <w:tcW w:w="341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材料名称</w:t>
            </w:r>
          </w:p>
        </w:tc>
        <w:tc>
          <w:tcPr>
            <w:tcW w:w="79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数量</w:t>
            </w:r>
          </w:p>
        </w:tc>
        <w:tc>
          <w:tcPr>
            <w:tcW w:w="157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Times New Roman"/>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2381"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Times New Roman"/>
                <w:color w:val="auto"/>
                <w:sz w:val="21"/>
                <w:szCs w:val="21"/>
              </w:rPr>
            </w:pPr>
            <w:r>
              <w:rPr>
                <w:rFonts w:hint="eastAsia" w:ascii="黑体" w:hAnsi="黑体" w:eastAsia="黑体" w:cs="Microsoft Himalaya"/>
                <w:color w:val="auto"/>
                <w:sz w:val="18"/>
                <w:szCs w:val="18"/>
              </w:rPr>
              <w:t>自然人</w:t>
            </w:r>
          </w:p>
        </w:tc>
        <w:tc>
          <w:tcPr>
            <w:tcW w:w="3418"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身份证件原件</w:t>
            </w: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lang w:val="en-US" w:eastAsia="zh-CN"/>
              </w:rPr>
            </w:pPr>
            <w:r>
              <w:rPr>
                <w:rFonts w:hint="eastAsia" w:ascii="黑体" w:hAnsi="黑体" w:eastAsia="黑体" w:cs="Microsoft Himalaya"/>
                <w:color w:val="auto"/>
                <w:sz w:val="18"/>
                <w:szCs w:val="18"/>
                <w:lang w:val="en-US" w:eastAsia="zh-CN"/>
              </w:rPr>
              <w:t>1份</w:t>
            </w:r>
          </w:p>
        </w:tc>
        <w:tc>
          <w:tcPr>
            <w:tcW w:w="15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查验后退回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2381"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Times New Roman"/>
                <w:color w:val="auto"/>
                <w:sz w:val="18"/>
                <w:szCs w:val="22"/>
              </w:rPr>
              <w:t>已办理税务登记的纳税人</w:t>
            </w:r>
          </w:p>
        </w:tc>
        <w:tc>
          <w:tcPr>
            <w:tcW w:w="3418" w:type="dxa"/>
            <w:tcBorders>
              <w:left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加载统一社会信用代码的营业执照（或</w:t>
            </w:r>
          </w:p>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税务登记证、组织机构代码证等）原件</w:t>
            </w:r>
          </w:p>
        </w:tc>
        <w:tc>
          <w:tcPr>
            <w:tcW w:w="79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eastAsia" w:ascii="黑体" w:hAnsi="黑体" w:eastAsia="黑体" w:cs="Microsoft Himalaya"/>
                <w:color w:val="auto"/>
                <w:sz w:val="18"/>
                <w:szCs w:val="18"/>
                <w:lang w:val="en-US" w:eastAsia="zh-CN"/>
              </w:rPr>
            </w:pPr>
            <w:r>
              <w:rPr>
                <w:rFonts w:hint="eastAsia" w:ascii="黑体" w:hAnsi="黑体" w:eastAsia="黑体" w:cs="Microsoft Himalaya"/>
                <w:color w:val="auto"/>
                <w:sz w:val="18"/>
                <w:szCs w:val="18"/>
                <w:lang w:val="en-US" w:eastAsia="zh-CN"/>
              </w:rPr>
              <w:t>1份</w:t>
            </w:r>
          </w:p>
        </w:tc>
        <w:tc>
          <w:tcPr>
            <w:tcW w:w="157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kinsoku w:val="0"/>
              <w:wordWrap w:val="0"/>
              <w:topLinePunct/>
              <w:spacing w:before="0" w:beforeAutospacing="0" w:after="0" w:afterAutospacing="0" w:line="240" w:lineRule="auto"/>
              <w:ind w:left="0" w:right="0" w:firstLine="0" w:firstLineChars="0"/>
              <w:jc w:val="center"/>
              <w:rPr>
                <w:rFonts w:hint="default" w:ascii="黑体" w:hAnsi="黑体" w:eastAsia="黑体" w:cs="Microsoft Himalaya"/>
                <w:color w:val="auto"/>
                <w:sz w:val="18"/>
                <w:szCs w:val="18"/>
              </w:rPr>
            </w:pPr>
            <w:r>
              <w:rPr>
                <w:rFonts w:hint="eastAsia" w:ascii="黑体" w:hAnsi="黑体" w:eastAsia="黑体" w:cs="Microsoft Himalaya"/>
                <w:color w:val="auto"/>
                <w:sz w:val="18"/>
                <w:szCs w:val="18"/>
              </w:rPr>
              <w:t>查验后退回</w:t>
            </w:r>
          </w:p>
        </w:tc>
      </w:tr>
    </w:tbl>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【办理地点】</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可通过办税</w:t>
      </w:r>
      <w:bookmarkStart w:id="18" w:name="_GoBack"/>
      <w:bookmarkEnd w:id="18"/>
      <w:r>
        <w:rPr>
          <w:rFonts w:hint="eastAsia" w:ascii="宋体" w:hAnsi="宋体" w:eastAsia="宋体"/>
          <w:color w:val="auto"/>
          <w:sz w:val="24"/>
          <w:szCs w:val="24"/>
        </w:rPr>
        <w:t>服务厅（场所）、电子税务局</w:t>
      </w:r>
      <w:r>
        <w:rPr>
          <w:rFonts w:hint="eastAsia" w:ascii="宋体" w:hAnsi="宋体" w:eastAsia="宋体" w:cstheme="minorBidi"/>
          <w:bCs w:val="0"/>
          <w:lang w:eastAsia="zh-CN"/>
        </w:rPr>
        <w:t>（http://etax.yunnan.chinatax.gov.cn）</w:t>
      </w:r>
      <w:r>
        <w:rPr>
          <w:rFonts w:hint="eastAsia" w:ascii="宋体" w:hAnsi="宋体" w:eastAsia="宋体"/>
          <w:color w:val="auto"/>
          <w:sz w:val="24"/>
          <w:szCs w:val="24"/>
        </w:rPr>
        <w:t>办理，</w:t>
      </w:r>
      <w:r>
        <w:rPr>
          <w:rFonts w:hint="eastAsia" w:ascii="宋体" w:hAnsi="宋体" w:eastAsia="宋体" w:cstheme="minorBidi"/>
          <w:color w:val="auto"/>
          <w:sz w:val="24"/>
          <w:szCs w:val="24"/>
        </w:rPr>
        <w:t>具体地点可从</w:t>
      </w:r>
      <w:r>
        <w:rPr>
          <w:rFonts w:hint="eastAsia" w:ascii="宋体" w:hAnsi="宋体" w:eastAsia="宋体" w:cstheme="minorBidi"/>
          <w:color w:val="auto"/>
          <w:sz w:val="24"/>
          <w:szCs w:val="24"/>
          <w:lang w:eastAsia="zh-CN"/>
        </w:rPr>
        <w:t>云南省税务局网站</w:t>
      </w:r>
      <w:r>
        <w:rPr>
          <w:rFonts w:hint="eastAsia" w:ascii="宋体" w:hAnsi="宋体" w:eastAsia="宋体" w:cstheme="minorBidi"/>
          <w:color w:val="auto"/>
          <w:sz w:val="24"/>
          <w:szCs w:val="24"/>
        </w:rPr>
        <w:t>“纳税服务”栏目查询</w:t>
      </w:r>
      <w:r>
        <w:rPr>
          <w:rFonts w:hint="eastAsia" w:ascii="宋体" w:hAnsi="宋体" w:eastAsia="宋体"/>
          <w:color w:val="auto"/>
          <w:sz w:val="24"/>
          <w:szCs w:val="24"/>
        </w:rPr>
        <w:t>。</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【办理机构】</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主管税务机关</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【收费标准】</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不收费</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【办理时间】</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即时办结</w:t>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【联系电话】</w:t>
      </w:r>
    </w:p>
    <w:p>
      <w:pPr>
        <w:keepNext w:val="0"/>
        <w:keepLines w:val="0"/>
        <w:pageBreakBefore w:val="0"/>
        <w:widowControl/>
        <w:kinsoku w:val="0"/>
        <w:wordWrap/>
        <w:overflowPunct/>
        <w:topLinePunct/>
        <w:autoSpaceDE/>
        <w:autoSpaceDN/>
        <w:bidi w:val="0"/>
        <w:adjustRightInd/>
        <w:snapToGrid/>
        <w:spacing w:line="360" w:lineRule="auto"/>
        <w:ind w:firstLine="480" w:firstLineChars="200"/>
        <w:textAlignment w:val="auto"/>
        <w:rPr>
          <w:rFonts w:hint="eastAsia" w:ascii="宋体" w:hAnsi="宋体" w:eastAsia="宋体"/>
          <w:color w:val="auto"/>
          <w:sz w:val="24"/>
          <w:szCs w:val="24"/>
        </w:rPr>
      </w:pPr>
      <w:r>
        <w:rPr>
          <w:rFonts w:hint="eastAsia" w:ascii="宋体" w:hAnsi="宋体" w:eastAsia="宋体"/>
          <w:color w:val="auto"/>
          <w:sz w:val="24"/>
          <w:szCs w:val="24"/>
          <w:lang w:val="en-US" w:eastAsia="zh-CN"/>
        </w:rPr>
        <w:t>主管税务机关对外公开的联系电话，可从云南省税务局网站“纳税服务”栏目查询。</w:t>
      </w:r>
    </w:p>
    <w:p>
      <w:pPr>
        <w:keepNext w:val="0"/>
        <w:keepLines w:val="0"/>
        <w:pageBreakBefore w:val="0"/>
        <w:widowControl/>
        <w:kinsoku w:val="0"/>
        <w:wordWrap/>
        <w:overflowPunct/>
        <w:topLinePunct/>
        <w:autoSpaceDE/>
        <w:autoSpaceDN/>
        <w:bidi w:val="0"/>
        <w:adjustRightInd/>
        <w:snapToGrid/>
        <w:spacing w:line="360" w:lineRule="auto"/>
        <w:ind w:firstLine="480" w:firstLineChars="200"/>
        <w:textAlignment w:val="auto"/>
        <w:rPr>
          <w:rFonts w:ascii="黑体" w:hAnsi="黑体" w:eastAsia="黑体" w:cs="Times New Roman"/>
          <w:bCs/>
          <w:color w:val="auto"/>
          <w:sz w:val="24"/>
          <w:szCs w:val="24"/>
        </w:rPr>
      </w:pPr>
      <w:r>
        <w:rPr>
          <w:rFonts w:hint="eastAsia" w:ascii="黑体" w:hAnsi="黑体" w:eastAsia="黑体" w:cs="Times New Roman"/>
          <w:bCs/>
          <w:color w:val="auto"/>
          <w:sz w:val="24"/>
          <w:szCs w:val="24"/>
        </w:rPr>
        <w:t>【办理流程】</w:t>
      </w:r>
    </w:p>
    <w:p>
      <w:pPr>
        <w:keepNext w:val="0"/>
        <w:keepLines w:val="0"/>
        <w:pageBreakBefore w:val="0"/>
        <w:widowControl/>
        <w:kinsoku w:val="0"/>
        <w:wordWrap/>
        <w:overflowPunct/>
        <w:topLinePunct/>
        <w:autoSpaceDE/>
        <w:autoSpaceDN/>
        <w:bidi w:val="0"/>
        <w:adjustRightInd/>
        <w:snapToGrid/>
        <w:spacing w:line="360" w:lineRule="auto"/>
        <w:ind w:firstLine="0" w:firstLineChars="0"/>
        <w:textAlignment w:val="auto"/>
        <w:rPr>
          <w:rFonts w:hint="eastAsia" w:ascii="宋体" w:hAnsi="宋体" w:eastAsia="宋体"/>
          <w:color w:val="auto"/>
          <w:sz w:val="24"/>
          <w:szCs w:val="24"/>
          <w:lang w:val="en-US" w:eastAsia="zh-CN"/>
        </w:rPr>
      </w:pPr>
      <w:r>
        <w:rPr>
          <w:rFonts w:hint="eastAsia" w:ascii="宋体" w:hAnsi="宋体" w:eastAsia="仿宋_GB2312"/>
          <w:color w:val="auto"/>
          <w:u w:val="none"/>
          <w:lang w:eastAsia="zh-CN"/>
        </w:rPr>
        <w:drawing>
          <wp:inline distT="0" distB="0" distL="114300" distR="114300">
            <wp:extent cx="5184140" cy="1776095"/>
            <wp:effectExtent l="0" t="0" r="12700" b="0"/>
            <wp:docPr id="86" name="图片 86" descr="C:\Users\baoqianyu\Desktop\流程图\即办\纳税人（无归档）.png纳税人（无归档）"/>
            <wp:cNvGraphicFramePr/>
            <a:graphic xmlns:a="http://schemas.openxmlformats.org/drawingml/2006/main">
              <a:graphicData uri="http://schemas.openxmlformats.org/drawingml/2006/picture">
                <pic:pic xmlns:pic="http://schemas.openxmlformats.org/drawingml/2006/picture">
                  <pic:nvPicPr>
                    <pic:cNvPr id="86" name="图片 86" descr="C:\Users\baoqianyu\Desktop\流程图\即办\纳税人（无归档）.png纳税人（无归档）"/>
                    <pic:cNvPicPr/>
                  </pic:nvPicPr>
                  <pic:blipFill>
                    <a:blip r:embed="rId8"/>
                    <a:srcRect/>
                    <a:stretch>
                      <a:fillRect/>
                    </a:stretch>
                  </pic:blipFill>
                  <pic:spPr>
                    <a:xfrm>
                      <a:off x="0" y="0"/>
                      <a:ext cx="5184140" cy="1776095"/>
                    </a:xfrm>
                    <a:prstGeom prst="rect">
                      <a:avLst/>
                    </a:prstGeom>
                  </pic:spPr>
                </pic:pic>
              </a:graphicData>
            </a:graphic>
          </wp:inline>
        </w:drawing>
      </w:r>
    </w:p>
    <w:p>
      <w:pPr>
        <w:widowControl/>
        <w:kinsoku w:val="0"/>
        <w:topLinePunct/>
        <w:adjustRightInd/>
        <w:snapToGrid/>
        <w:spacing w:line="360" w:lineRule="auto"/>
        <w:ind w:firstLine="480" w:firstLineChars="200"/>
        <w:rPr>
          <w:rFonts w:ascii="黑体" w:hAnsi="黑体" w:eastAsia="黑体" w:cs="Times New Roman"/>
          <w:bCs/>
          <w:color w:val="auto"/>
          <w:sz w:val="24"/>
          <w:szCs w:val="24"/>
        </w:rPr>
      </w:pPr>
      <w:r>
        <w:rPr>
          <w:rFonts w:hint="eastAsia" w:ascii="黑体" w:hAnsi="黑体" w:eastAsia="黑体" w:cs="Times New Roman"/>
          <w:bCs/>
          <w:color w:val="auto"/>
          <w:sz w:val="24"/>
          <w:szCs w:val="24"/>
        </w:rPr>
        <w:t>【纳税人注意事项】</w:t>
      </w:r>
    </w:p>
    <w:p>
      <w:pPr>
        <w:widowControl/>
        <w:kinsoku w:val="0"/>
        <w:topLinePunct/>
        <w:adjustRightInd/>
        <w:snapToGrid/>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1</w:t>
      </w:r>
      <w:r>
        <w:rPr>
          <w:rFonts w:hint="eastAsia" w:ascii="Times New Roman" w:hAnsi="Times New Roman" w:eastAsia="宋体"/>
          <w:color w:val="auto"/>
          <w:sz w:val="24"/>
          <w:szCs w:val="24"/>
          <w:lang w:eastAsia="zh-CN"/>
        </w:rPr>
        <w:t>.</w:t>
      </w:r>
      <w:r>
        <w:rPr>
          <w:rFonts w:hint="eastAsia" w:ascii="宋体" w:hAnsi="宋体" w:eastAsia="宋体"/>
          <w:color w:val="auto"/>
          <w:sz w:val="24"/>
          <w:szCs w:val="24"/>
        </w:rPr>
        <w:t>纳税人对报送材料的真实性和合法性承担责任。</w:t>
      </w:r>
    </w:p>
    <w:p>
      <w:pPr>
        <w:widowControl/>
        <w:kinsoku w:val="0"/>
        <w:topLinePunct/>
        <w:spacing w:line="360" w:lineRule="auto"/>
        <w:ind w:firstLine="480" w:firstLineChars="200"/>
        <w:jc w:val="left"/>
        <w:rPr>
          <w:rFonts w:ascii="宋体" w:hAnsi="宋体" w:eastAsia="宋体"/>
          <w:color w:val="auto"/>
          <w:kern w:val="0"/>
          <w:szCs w:val="21"/>
        </w:rPr>
      </w:pPr>
      <w:r>
        <w:rPr>
          <w:rFonts w:hint="eastAsia" w:ascii="宋体" w:hAnsi="宋体" w:eastAsia="宋体"/>
          <w:color w:val="auto"/>
          <w:sz w:val="24"/>
          <w:szCs w:val="24"/>
        </w:rPr>
        <w:t>2</w:t>
      </w:r>
      <w:r>
        <w:rPr>
          <w:rFonts w:hint="eastAsia" w:ascii="宋体" w:hAnsi="宋体" w:eastAsia="宋体"/>
          <w:color w:val="auto"/>
          <w:sz w:val="24"/>
          <w:szCs w:val="24"/>
          <w:lang w:eastAsia="zh-CN"/>
        </w:rPr>
        <w:t>.纳税人使用符合电子签名法规定条件的电子签名，与手写签名或者盖章具有同等法律效力。</w:t>
      </w:r>
    </w:p>
    <w:sectPr>
      <w:footerReference r:id="rId5" w:type="first"/>
      <w:headerReference r:id="rId3" w:type="even"/>
      <w:footerReference r:id="rId4" w:type="even"/>
      <w:pgSz w:w="11906" w:h="16838"/>
      <w:pgMar w:top="1440" w:right="1800" w:bottom="1440" w:left="1800" w:header="851" w:footer="1077" w:gutter="0"/>
      <w:pgNumType w:start="1"/>
      <w:cols w:space="0" w:num="1"/>
      <w:rtlGutter w:val="0"/>
      <w:docGrid w:type="linesAndChar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Microsoft Himalaya">
    <w:altName w:val="Sylfaen"/>
    <w:panose1 w:val="01010100010101010101"/>
    <w:charset w:val="00"/>
    <w:family w:val="auto"/>
    <w:pitch w:val="default"/>
    <w:sig w:usb0="00000000" w:usb1="00000000" w:usb2="00000040" w:usb3="00000000" w:csb0="00000001" w:csb1="00000000"/>
  </w:font>
  <w:font w:name="仿宋">
    <w:altName w:val="宋体"/>
    <w:panose1 w:val="02010609060101010101"/>
    <w:charset w:val="86"/>
    <w:family w:val="modern"/>
    <w:pitch w:val="default"/>
    <w:sig w:usb0="00000000" w:usb1="00000000" w:usb2="00000016" w:usb3="00000000" w:csb0="00040001"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6AA7"/>
    <w:multiLevelType w:val="multilevel"/>
    <w:tmpl w:val="34B96AA7"/>
    <w:lvl w:ilvl="0" w:tentative="0">
      <w:start w:val="1"/>
      <w:numFmt w:val="bullet"/>
      <w:pStyle w:val="35"/>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56930417"/>
    <w:multiLevelType w:val="multilevel"/>
    <w:tmpl w:val="56930417"/>
    <w:lvl w:ilvl="0" w:tentative="0">
      <w:start w:val="1"/>
      <w:numFmt w:val="bullet"/>
      <w:pStyle w:val="43"/>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0"/>
  <w:bordersDoNotSurroundFooter w:val="0"/>
  <w:linkStyles/>
  <w:documentProtection w:enforcement="0"/>
  <w:defaultTabStop w:val="420"/>
  <w:drawingGridHorizontalSpacing w:val="105"/>
  <w:drawingGridVerticalSpacing w:val="16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19"/>
    <w:rsid w:val="00014597"/>
    <w:rsid w:val="000219BE"/>
    <w:rsid w:val="00022A54"/>
    <w:rsid w:val="00027D0B"/>
    <w:rsid w:val="000428BC"/>
    <w:rsid w:val="00055639"/>
    <w:rsid w:val="00056AFA"/>
    <w:rsid w:val="00083596"/>
    <w:rsid w:val="000846F2"/>
    <w:rsid w:val="00085796"/>
    <w:rsid w:val="00087CCE"/>
    <w:rsid w:val="0009448E"/>
    <w:rsid w:val="00095E86"/>
    <w:rsid w:val="000A7FAE"/>
    <w:rsid w:val="000C4BAC"/>
    <w:rsid w:val="000D3246"/>
    <w:rsid w:val="000E117A"/>
    <w:rsid w:val="000F2174"/>
    <w:rsid w:val="000F401F"/>
    <w:rsid w:val="000F7918"/>
    <w:rsid w:val="00101103"/>
    <w:rsid w:val="00106629"/>
    <w:rsid w:val="001170DA"/>
    <w:rsid w:val="00122D7E"/>
    <w:rsid w:val="00124831"/>
    <w:rsid w:val="001353E5"/>
    <w:rsid w:val="00141E5A"/>
    <w:rsid w:val="00155D6D"/>
    <w:rsid w:val="00162017"/>
    <w:rsid w:val="001707B5"/>
    <w:rsid w:val="00172A27"/>
    <w:rsid w:val="00176C38"/>
    <w:rsid w:val="00176D05"/>
    <w:rsid w:val="001815DE"/>
    <w:rsid w:val="00184FB7"/>
    <w:rsid w:val="00185305"/>
    <w:rsid w:val="001918A2"/>
    <w:rsid w:val="0019295E"/>
    <w:rsid w:val="001A102C"/>
    <w:rsid w:val="001A3A44"/>
    <w:rsid w:val="001A4206"/>
    <w:rsid w:val="001B08E0"/>
    <w:rsid w:val="001B12FC"/>
    <w:rsid w:val="001B2008"/>
    <w:rsid w:val="001B2DEB"/>
    <w:rsid w:val="001B408B"/>
    <w:rsid w:val="001C0D8A"/>
    <w:rsid w:val="001C52C0"/>
    <w:rsid w:val="001D1249"/>
    <w:rsid w:val="001D52C3"/>
    <w:rsid w:val="00204243"/>
    <w:rsid w:val="00205F2B"/>
    <w:rsid w:val="002065D3"/>
    <w:rsid w:val="00210A7D"/>
    <w:rsid w:val="0022514A"/>
    <w:rsid w:val="00236962"/>
    <w:rsid w:val="00243D67"/>
    <w:rsid w:val="00252B86"/>
    <w:rsid w:val="00262866"/>
    <w:rsid w:val="002A26F4"/>
    <w:rsid w:val="002A6FE7"/>
    <w:rsid w:val="002C6B1C"/>
    <w:rsid w:val="002C6E4B"/>
    <w:rsid w:val="002D1D84"/>
    <w:rsid w:val="002F3D8C"/>
    <w:rsid w:val="003019A9"/>
    <w:rsid w:val="00307C1D"/>
    <w:rsid w:val="0031726D"/>
    <w:rsid w:val="00325422"/>
    <w:rsid w:val="0033289C"/>
    <w:rsid w:val="0033606B"/>
    <w:rsid w:val="0035409D"/>
    <w:rsid w:val="0037334E"/>
    <w:rsid w:val="003841C2"/>
    <w:rsid w:val="003953B1"/>
    <w:rsid w:val="00396922"/>
    <w:rsid w:val="0039746C"/>
    <w:rsid w:val="003A346A"/>
    <w:rsid w:val="003A5CAC"/>
    <w:rsid w:val="003C4F84"/>
    <w:rsid w:val="003D2655"/>
    <w:rsid w:val="0041725F"/>
    <w:rsid w:val="00421FEB"/>
    <w:rsid w:val="00423EA4"/>
    <w:rsid w:val="004249AF"/>
    <w:rsid w:val="00424F2B"/>
    <w:rsid w:val="00437C55"/>
    <w:rsid w:val="00444868"/>
    <w:rsid w:val="004529C0"/>
    <w:rsid w:val="00455EB2"/>
    <w:rsid w:val="00457BC6"/>
    <w:rsid w:val="004632BD"/>
    <w:rsid w:val="00483124"/>
    <w:rsid w:val="00484369"/>
    <w:rsid w:val="00491001"/>
    <w:rsid w:val="00494B49"/>
    <w:rsid w:val="004A0290"/>
    <w:rsid w:val="004B0276"/>
    <w:rsid w:val="004B1EB6"/>
    <w:rsid w:val="004C2629"/>
    <w:rsid w:val="004D254E"/>
    <w:rsid w:val="004E720F"/>
    <w:rsid w:val="00502502"/>
    <w:rsid w:val="005030B3"/>
    <w:rsid w:val="005328DD"/>
    <w:rsid w:val="0054071F"/>
    <w:rsid w:val="00546B34"/>
    <w:rsid w:val="00554FB1"/>
    <w:rsid w:val="005570B3"/>
    <w:rsid w:val="00564C8F"/>
    <w:rsid w:val="00574BA2"/>
    <w:rsid w:val="00586BD8"/>
    <w:rsid w:val="005878D1"/>
    <w:rsid w:val="005A0272"/>
    <w:rsid w:val="005B1D79"/>
    <w:rsid w:val="005D2B99"/>
    <w:rsid w:val="005F1645"/>
    <w:rsid w:val="005F18BE"/>
    <w:rsid w:val="005F42E9"/>
    <w:rsid w:val="00613186"/>
    <w:rsid w:val="00614451"/>
    <w:rsid w:val="00647993"/>
    <w:rsid w:val="00652D9C"/>
    <w:rsid w:val="00656D0E"/>
    <w:rsid w:val="00657F17"/>
    <w:rsid w:val="00663BE3"/>
    <w:rsid w:val="00666391"/>
    <w:rsid w:val="00675B35"/>
    <w:rsid w:val="0067754A"/>
    <w:rsid w:val="0068027D"/>
    <w:rsid w:val="00685E62"/>
    <w:rsid w:val="006909C3"/>
    <w:rsid w:val="00695D04"/>
    <w:rsid w:val="006A168C"/>
    <w:rsid w:val="006A7D06"/>
    <w:rsid w:val="006B538C"/>
    <w:rsid w:val="006C25E9"/>
    <w:rsid w:val="006C2653"/>
    <w:rsid w:val="006C3557"/>
    <w:rsid w:val="006E1FCC"/>
    <w:rsid w:val="006E3FFF"/>
    <w:rsid w:val="007026F1"/>
    <w:rsid w:val="00702F60"/>
    <w:rsid w:val="00703618"/>
    <w:rsid w:val="00706102"/>
    <w:rsid w:val="0071616B"/>
    <w:rsid w:val="007419E1"/>
    <w:rsid w:val="00742EA7"/>
    <w:rsid w:val="007441B3"/>
    <w:rsid w:val="0077089A"/>
    <w:rsid w:val="007726BC"/>
    <w:rsid w:val="00772A38"/>
    <w:rsid w:val="007830D2"/>
    <w:rsid w:val="0079465D"/>
    <w:rsid w:val="007D1B4B"/>
    <w:rsid w:val="007D3229"/>
    <w:rsid w:val="007D3DA9"/>
    <w:rsid w:val="007E236A"/>
    <w:rsid w:val="007E5D69"/>
    <w:rsid w:val="00805CAA"/>
    <w:rsid w:val="00812CE0"/>
    <w:rsid w:val="00813C92"/>
    <w:rsid w:val="00817B17"/>
    <w:rsid w:val="00843E9B"/>
    <w:rsid w:val="00855FB5"/>
    <w:rsid w:val="0089253F"/>
    <w:rsid w:val="00894C02"/>
    <w:rsid w:val="00897B07"/>
    <w:rsid w:val="008A395C"/>
    <w:rsid w:val="008A5AB4"/>
    <w:rsid w:val="008A7CB8"/>
    <w:rsid w:val="008B7867"/>
    <w:rsid w:val="008C56DC"/>
    <w:rsid w:val="008D2D18"/>
    <w:rsid w:val="008D760E"/>
    <w:rsid w:val="008E50DF"/>
    <w:rsid w:val="008E73A2"/>
    <w:rsid w:val="008F39D6"/>
    <w:rsid w:val="009136C2"/>
    <w:rsid w:val="00920D58"/>
    <w:rsid w:val="009264C7"/>
    <w:rsid w:val="0094443B"/>
    <w:rsid w:val="00950F23"/>
    <w:rsid w:val="009510F3"/>
    <w:rsid w:val="00951C42"/>
    <w:rsid w:val="009524B3"/>
    <w:rsid w:val="00964AB2"/>
    <w:rsid w:val="00981B18"/>
    <w:rsid w:val="00982FF2"/>
    <w:rsid w:val="00991B7B"/>
    <w:rsid w:val="009931EE"/>
    <w:rsid w:val="009A3A53"/>
    <w:rsid w:val="009B1386"/>
    <w:rsid w:val="009B1F30"/>
    <w:rsid w:val="009B72D0"/>
    <w:rsid w:val="009C0D37"/>
    <w:rsid w:val="009C75E2"/>
    <w:rsid w:val="009D1BD6"/>
    <w:rsid w:val="009D2C83"/>
    <w:rsid w:val="009D4CE8"/>
    <w:rsid w:val="009D68BC"/>
    <w:rsid w:val="009D76E6"/>
    <w:rsid w:val="009E0659"/>
    <w:rsid w:val="009E4D95"/>
    <w:rsid w:val="009F54A5"/>
    <w:rsid w:val="00A07666"/>
    <w:rsid w:val="00A203E4"/>
    <w:rsid w:val="00A24ACC"/>
    <w:rsid w:val="00A25A06"/>
    <w:rsid w:val="00A27456"/>
    <w:rsid w:val="00A303BF"/>
    <w:rsid w:val="00A40573"/>
    <w:rsid w:val="00A40737"/>
    <w:rsid w:val="00A425D7"/>
    <w:rsid w:val="00A46FC0"/>
    <w:rsid w:val="00A5597C"/>
    <w:rsid w:val="00A64AFE"/>
    <w:rsid w:val="00A82294"/>
    <w:rsid w:val="00A83B29"/>
    <w:rsid w:val="00A84DEB"/>
    <w:rsid w:val="00A909C2"/>
    <w:rsid w:val="00A91A5C"/>
    <w:rsid w:val="00A93A96"/>
    <w:rsid w:val="00AA06B2"/>
    <w:rsid w:val="00AA153D"/>
    <w:rsid w:val="00AB2A08"/>
    <w:rsid w:val="00AB3804"/>
    <w:rsid w:val="00AC27F5"/>
    <w:rsid w:val="00AD24C7"/>
    <w:rsid w:val="00AD24FB"/>
    <w:rsid w:val="00AD6FDC"/>
    <w:rsid w:val="00AF359B"/>
    <w:rsid w:val="00B02155"/>
    <w:rsid w:val="00B05213"/>
    <w:rsid w:val="00B16479"/>
    <w:rsid w:val="00B22275"/>
    <w:rsid w:val="00B2254E"/>
    <w:rsid w:val="00B32882"/>
    <w:rsid w:val="00B4454A"/>
    <w:rsid w:val="00B571FF"/>
    <w:rsid w:val="00B724ED"/>
    <w:rsid w:val="00B76B46"/>
    <w:rsid w:val="00BA0A6B"/>
    <w:rsid w:val="00BA58A8"/>
    <w:rsid w:val="00BA616B"/>
    <w:rsid w:val="00BD2661"/>
    <w:rsid w:val="00BD3148"/>
    <w:rsid w:val="00BF1037"/>
    <w:rsid w:val="00BF27AF"/>
    <w:rsid w:val="00BF4082"/>
    <w:rsid w:val="00C220E7"/>
    <w:rsid w:val="00C26DCF"/>
    <w:rsid w:val="00C350CF"/>
    <w:rsid w:val="00C37101"/>
    <w:rsid w:val="00C37DAC"/>
    <w:rsid w:val="00C45F51"/>
    <w:rsid w:val="00C47269"/>
    <w:rsid w:val="00C50E6E"/>
    <w:rsid w:val="00C611BF"/>
    <w:rsid w:val="00C62740"/>
    <w:rsid w:val="00C64A65"/>
    <w:rsid w:val="00C66378"/>
    <w:rsid w:val="00C70C1E"/>
    <w:rsid w:val="00C85512"/>
    <w:rsid w:val="00C92C9B"/>
    <w:rsid w:val="00C93897"/>
    <w:rsid w:val="00CA1B22"/>
    <w:rsid w:val="00CC5707"/>
    <w:rsid w:val="00CE535D"/>
    <w:rsid w:val="00CE7967"/>
    <w:rsid w:val="00D122F9"/>
    <w:rsid w:val="00D17708"/>
    <w:rsid w:val="00D25E5C"/>
    <w:rsid w:val="00D32D48"/>
    <w:rsid w:val="00D414DB"/>
    <w:rsid w:val="00D41896"/>
    <w:rsid w:val="00D4297B"/>
    <w:rsid w:val="00D43B54"/>
    <w:rsid w:val="00D535F3"/>
    <w:rsid w:val="00D701E1"/>
    <w:rsid w:val="00D75529"/>
    <w:rsid w:val="00D958D0"/>
    <w:rsid w:val="00DB5D40"/>
    <w:rsid w:val="00DC440F"/>
    <w:rsid w:val="00DC6856"/>
    <w:rsid w:val="00DD47C6"/>
    <w:rsid w:val="00DE4D54"/>
    <w:rsid w:val="00DF7CEC"/>
    <w:rsid w:val="00E352C8"/>
    <w:rsid w:val="00E405C4"/>
    <w:rsid w:val="00E41825"/>
    <w:rsid w:val="00E427F0"/>
    <w:rsid w:val="00E94BD7"/>
    <w:rsid w:val="00EA52C6"/>
    <w:rsid w:val="00EA5875"/>
    <w:rsid w:val="00EB2C4A"/>
    <w:rsid w:val="00EB4199"/>
    <w:rsid w:val="00EC234E"/>
    <w:rsid w:val="00EC5949"/>
    <w:rsid w:val="00ED7E4E"/>
    <w:rsid w:val="00EE047B"/>
    <w:rsid w:val="00EF3450"/>
    <w:rsid w:val="00F04C54"/>
    <w:rsid w:val="00F15157"/>
    <w:rsid w:val="00F20827"/>
    <w:rsid w:val="00F20AD0"/>
    <w:rsid w:val="00F24E02"/>
    <w:rsid w:val="00F26C40"/>
    <w:rsid w:val="00F32C5A"/>
    <w:rsid w:val="00F378A9"/>
    <w:rsid w:val="00F5024D"/>
    <w:rsid w:val="00F875FC"/>
    <w:rsid w:val="00FA1801"/>
    <w:rsid w:val="00FA2371"/>
    <w:rsid w:val="00FB2C87"/>
    <w:rsid w:val="00FB4FBD"/>
    <w:rsid w:val="00FE45CB"/>
    <w:rsid w:val="00FE6CAE"/>
    <w:rsid w:val="00FE7518"/>
    <w:rsid w:val="00FF2C34"/>
    <w:rsid w:val="01BE203F"/>
    <w:rsid w:val="02B167E7"/>
    <w:rsid w:val="03325BDC"/>
    <w:rsid w:val="053B1E6D"/>
    <w:rsid w:val="053E3673"/>
    <w:rsid w:val="05E31965"/>
    <w:rsid w:val="06776244"/>
    <w:rsid w:val="067B1301"/>
    <w:rsid w:val="06B937CB"/>
    <w:rsid w:val="076426B1"/>
    <w:rsid w:val="0776685B"/>
    <w:rsid w:val="07B76200"/>
    <w:rsid w:val="085C5A9B"/>
    <w:rsid w:val="09194768"/>
    <w:rsid w:val="099E6CFD"/>
    <w:rsid w:val="09A36A58"/>
    <w:rsid w:val="0AF95025"/>
    <w:rsid w:val="0C5E65AF"/>
    <w:rsid w:val="0CD748A8"/>
    <w:rsid w:val="0D6E59B4"/>
    <w:rsid w:val="0F485ED3"/>
    <w:rsid w:val="10055ABE"/>
    <w:rsid w:val="103E2260"/>
    <w:rsid w:val="106025BC"/>
    <w:rsid w:val="11EA6E1C"/>
    <w:rsid w:val="11F8071E"/>
    <w:rsid w:val="13E72489"/>
    <w:rsid w:val="14B35ABB"/>
    <w:rsid w:val="15386581"/>
    <w:rsid w:val="15D72AD9"/>
    <w:rsid w:val="175041D8"/>
    <w:rsid w:val="180E0DFA"/>
    <w:rsid w:val="1B1724BE"/>
    <w:rsid w:val="1D677603"/>
    <w:rsid w:val="1DF22D21"/>
    <w:rsid w:val="1FC548E6"/>
    <w:rsid w:val="1FE562AD"/>
    <w:rsid w:val="20216B61"/>
    <w:rsid w:val="20724CB1"/>
    <w:rsid w:val="20C008FC"/>
    <w:rsid w:val="22E56A2D"/>
    <w:rsid w:val="23511335"/>
    <w:rsid w:val="23D7109D"/>
    <w:rsid w:val="24233482"/>
    <w:rsid w:val="24A645D7"/>
    <w:rsid w:val="24C3077E"/>
    <w:rsid w:val="25DE65B0"/>
    <w:rsid w:val="263F0855"/>
    <w:rsid w:val="26664549"/>
    <w:rsid w:val="278B0AA3"/>
    <w:rsid w:val="27E54098"/>
    <w:rsid w:val="27FE11C2"/>
    <w:rsid w:val="284A28DF"/>
    <w:rsid w:val="28567D67"/>
    <w:rsid w:val="286B4EA2"/>
    <w:rsid w:val="28DB4B88"/>
    <w:rsid w:val="28E1459D"/>
    <w:rsid w:val="290D07C0"/>
    <w:rsid w:val="2AD8690F"/>
    <w:rsid w:val="2B3B769A"/>
    <w:rsid w:val="2C4722CC"/>
    <w:rsid w:val="2C5B7E06"/>
    <w:rsid w:val="2C6217F0"/>
    <w:rsid w:val="2DF017F0"/>
    <w:rsid w:val="2E3B530A"/>
    <w:rsid w:val="2EA46F3D"/>
    <w:rsid w:val="2EE20D08"/>
    <w:rsid w:val="2FCC20A2"/>
    <w:rsid w:val="2FD80CE4"/>
    <w:rsid w:val="318532E1"/>
    <w:rsid w:val="32683CD3"/>
    <w:rsid w:val="329D4DEB"/>
    <w:rsid w:val="33904994"/>
    <w:rsid w:val="361F37A7"/>
    <w:rsid w:val="39202F38"/>
    <w:rsid w:val="395B28E8"/>
    <w:rsid w:val="398421A0"/>
    <w:rsid w:val="39D21B68"/>
    <w:rsid w:val="3A0A5338"/>
    <w:rsid w:val="3A683229"/>
    <w:rsid w:val="3BDC0C60"/>
    <w:rsid w:val="3C456EA6"/>
    <w:rsid w:val="3C7B0E78"/>
    <w:rsid w:val="3D353BC3"/>
    <w:rsid w:val="3DAE163E"/>
    <w:rsid w:val="3E161EC1"/>
    <w:rsid w:val="3F1C4540"/>
    <w:rsid w:val="40141AB8"/>
    <w:rsid w:val="41A02B75"/>
    <w:rsid w:val="428132EB"/>
    <w:rsid w:val="42C32F37"/>
    <w:rsid w:val="431F7E04"/>
    <w:rsid w:val="432556B3"/>
    <w:rsid w:val="444D6F2C"/>
    <w:rsid w:val="44A01C33"/>
    <w:rsid w:val="44C272D0"/>
    <w:rsid w:val="44D13300"/>
    <w:rsid w:val="45FD2F49"/>
    <w:rsid w:val="463B482D"/>
    <w:rsid w:val="46D733A5"/>
    <w:rsid w:val="46EC280A"/>
    <w:rsid w:val="47A33BC9"/>
    <w:rsid w:val="488B6575"/>
    <w:rsid w:val="48EA4BC5"/>
    <w:rsid w:val="49D87317"/>
    <w:rsid w:val="4A22280F"/>
    <w:rsid w:val="4A7F0341"/>
    <w:rsid w:val="4AD67580"/>
    <w:rsid w:val="4C4766D7"/>
    <w:rsid w:val="4CDE625C"/>
    <w:rsid w:val="4D186266"/>
    <w:rsid w:val="4DFE1EB8"/>
    <w:rsid w:val="4E892F7F"/>
    <w:rsid w:val="502E74F4"/>
    <w:rsid w:val="514F1FC4"/>
    <w:rsid w:val="51E2609C"/>
    <w:rsid w:val="52511E65"/>
    <w:rsid w:val="529814C3"/>
    <w:rsid w:val="53990CF8"/>
    <w:rsid w:val="53A07FE6"/>
    <w:rsid w:val="53C24E0E"/>
    <w:rsid w:val="53E40019"/>
    <w:rsid w:val="53FA28D7"/>
    <w:rsid w:val="54151A75"/>
    <w:rsid w:val="54760DC1"/>
    <w:rsid w:val="54B21EB6"/>
    <w:rsid w:val="54B25989"/>
    <w:rsid w:val="55D76597"/>
    <w:rsid w:val="566F694F"/>
    <w:rsid w:val="567930B9"/>
    <w:rsid w:val="56980C87"/>
    <w:rsid w:val="56B33D15"/>
    <w:rsid w:val="56E04B20"/>
    <w:rsid w:val="576676CC"/>
    <w:rsid w:val="57CC6CFD"/>
    <w:rsid w:val="57E3278C"/>
    <w:rsid w:val="58BD389A"/>
    <w:rsid w:val="58DF27BC"/>
    <w:rsid w:val="58EC0FA3"/>
    <w:rsid w:val="59FD0CAD"/>
    <w:rsid w:val="5A582325"/>
    <w:rsid w:val="5A8B4D87"/>
    <w:rsid w:val="5A955544"/>
    <w:rsid w:val="5ACE38AF"/>
    <w:rsid w:val="5B3A7367"/>
    <w:rsid w:val="5B6966C5"/>
    <w:rsid w:val="5BFF3413"/>
    <w:rsid w:val="5CDF48A6"/>
    <w:rsid w:val="5E304AA3"/>
    <w:rsid w:val="5F874B39"/>
    <w:rsid w:val="605A6609"/>
    <w:rsid w:val="607A3E9C"/>
    <w:rsid w:val="6094523F"/>
    <w:rsid w:val="60F5240B"/>
    <w:rsid w:val="60FC7417"/>
    <w:rsid w:val="62F30F74"/>
    <w:rsid w:val="6426030F"/>
    <w:rsid w:val="656876B2"/>
    <w:rsid w:val="65B9440A"/>
    <w:rsid w:val="6691281C"/>
    <w:rsid w:val="669C2430"/>
    <w:rsid w:val="6A4F61A3"/>
    <w:rsid w:val="6AE93603"/>
    <w:rsid w:val="6B0D63BC"/>
    <w:rsid w:val="6B841098"/>
    <w:rsid w:val="6C0F62E3"/>
    <w:rsid w:val="6C1F3680"/>
    <w:rsid w:val="6C4159E6"/>
    <w:rsid w:val="6C727FF5"/>
    <w:rsid w:val="6C915CD1"/>
    <w:rsid w:val="6CE753FC"/>
    <w:rsid w:val="6E1B7563"/>
    <w:rsid w:val="6E4C7EA3"/>
    <w:rsid w:val="6F3036D5"/>
    <w:rsid w:val="6F4D52AA"/>
    <w:rsid w:val="6FED5CFF"/>
    <w:rsid w:val="70424146"/>
    <w:rsid w:val="720E4274"/>
    <w:rsid w:val="72B81F67"/>
    <w:rsid w:val="73BE01BD"/>
    <w:rsid w:val="76C1741D"/>
    <w:rsid w:val="77286561"/>
    <w:rsid w:val="77D74AE3"/>
    <w:rsid w:val="77F12579"/>
    <w:rsid w:val="788919FE"/>
    <w:rsid w:val="797A4679"/>
    <w:rsid w:val="7B4914DD"/>
    <w:rsid w:val="7D4B05D8"/>
    <w:rsid w:val="7DB953AD"/>
    <w:rsid w:val="7DD66734"/>
    <w:rsid w:val="7E1B288D"/>
    <w:rsid w:val="7EFA3B76"/>
    <w:rsid w:val="7F047AB4"/>
    <w:rsid w:val="7F461D1A"/>
    <w:rsid w:val="7FA85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autoSpaceDE w:val="0"/>
      <w:autoSpaceDN w:val="0"/>
      <w:spacing w:beforeLines="220" w:afterLines="70"/>
      <w:jc w:val="center"/>
      <w:outlineLvl w:val="0"/>
    </w:pPr>
    <w:rPr>
      <w:rFonts w:ascii="黑体" w:hAnsi="黑体" w:eastAsia="黑体"/>
      <w:sz w:val="36"/>
      <w:szCs w:val="36"/>
      <w:lang w:val="zh-CN"/>
    </w:rPr>
  </w:style>
  <w:style w:type="paragraph" w:styleId="3">
    <w:name w:val="heading 2"/>
    <w:basedOn w:val="1"/>
    <w:next w:val="1"/>
    <w:link w:val="24"/>
    <w:unhideWhenUsed/>
    <w:qFormat/>
    <w:uiPriority w:val="0"/>
    <w:pPr>
      <w:keepNext/>
      <w:keepLines/>
      <w:spacing w:before="260" w:after="260" w:line="416" w:lineRule="auto"/>
      <w:outlineLvl w:val="1"/>
    </w:pPr>
    <w:rPr>
      <w:rFonts w:ascii="等线 Light" w:hAnsi="等线 Light" w:eastAsia="等线 Light"/>
      <w:b/>
      <w:bCs/>
      <w:sz w:val="32"/>
      <w:szCs w:val="32"/>
      <w:lang w:val="zh-CN"/>
    </w:rPr>
  </w:style>
  <w:style w:type="paragraph" w:styleId="4">
    <w:name w:val="heading 3"/>
    <w:basedOn w:val="1"/>
    <w:next w:val="1"/>
    <w:link w:val="25"/>
    <w:unhideWhenUsed/>
    <w:qFormat/>
    <w:uiPriority w:val="0"/>
    <w:pPr>
      <w:keepNext/>
      <w:keepLines/>
      <w:spacing w:before="260" w:after="260" w:line="416" w:lineRule="auto"/>
      <w:outlineLvl w:val="2"/>
    </w:pPr>
    <w:rPr>
      <w:b/>
      <w:bCs/>
      <w:sz w:val="32"/>
      <w:szCs w:val="32"/>
      <w:lang w:val="zh-CN"/>
    </w:rPr>
  </w:style>
  <w:style w:type="character" w:default="1" w:styleId="12">
    <w:name w:val="Default Paragraph Font"/>
    <w:unhideWhenUsed/>
    <w:qFormat/>
    <w:uiPriority w:val="1"/>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sz w:val="20"/>
      <w:szCs w:val="20"/>
    </w:rPr>
    <w:tblPr>
      <w:tblLayout w:type="fixed"/>
      <w:tblCellMar>
        <w:top w:w="0" w:type="dxa"/>
        <w:left w:w="108" w:type="dxa"/>
        <w:bottom w:w="0" w:type="dxa"/>
        <w:right w:w="108" w:type="dxa"/>
      </w:tblCellMar>
    </w:tblPr>
  </w:style>
  <w:style w:type="paragraph" w:styleId="5">
    <w:name w:val="annotation subject"/>
    <w:basedOn w:val="6"/>
    <w:next w:val="6"/>
    <w:link w:val="52"/>
    <w:qFormat/>
    <w:uiPriority w:val="0"/>
    <w:rPr>
      <w:rFonts w:hint="default" w:eastAsiaTheme="minorEastAsia"/>
      <w:b/>
      <w:bCs/>
      <w:sz w:val="21"/>
    </w:rPr>
  </w:style>
  <w:style w:type="paragraph" w:styleId="6">
    <w:name w:val="annotation text"/>
    <w:basedOn w:val="1"/>
    <w:link w:val="51"/>
    <w:unhideWhenUsed/>
    <w:qFormat/>
    <w:uiPriority w:val="0"/>
    <w:pPr>
      <w:jc w:val="left"/>
    </w:pPr>
    <w:rPr>
      <w:rFonts w:hint="eastAsia" w:eastAsia="仿宋_GB2312"/>
      <w:sz w:val="24"/>
    </w:rPr>
  </w:style>
  <w:style w:type="paragraph" w:styleId="7">
    <w:name w:val="Document Map"/>
    <w:basedOn w:val="1"/>
    <w:link w:val="26"/>
    <w:qFormat/>
    <w:uiPriority w:val="0"/>
    <w:rPr>
      <w:rFonts w:ascii="宋体"/>
      <w:sz w:val="18"/>
      <w:szCs w:val="18"/>
      <w:lang w:val="zh-CN"/>
    </w:rPr>
  </w:style>
  <w:style w:type="paragraph" w:styleId="8">
    <w:name w:val="Balloon Text"/>
    <w:basedOn w:val="1"/>
    <w:link w:val="19"/>
    <w:qFormat/>
    <w:uiPriority w:val="0"/>
    <w:rPr>
      <w:sz w:val="18"/>
      <w:szCs w:val="18"/>
      <w:lang w:val="zh-CN"/>
    </w:rPr>
  </w:style>
  <w:style w:type="paragraph" w:styleId="9">
    <w:name w:val="footer"/>
    <w:basedOn w:val="1"/>
    <w:qFormat/>
    <w:uiPriority w:val="0"/>
    <w:pPr>
      <w:tabs>
        <w:tab w:val="center" w:pos="4153"/>
        <w:tab w:val="right" w:pos="8306"/>
      </w:tabs>
      <w:snapToGrid w:val="0"/>
      <w:spacing w:line="460" w:lineRule="exact"/>
      <w:ind w:firstLine="200" w:firstLineChars="200"/>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lang w:val="zh-CN"/>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rPr>
  </w:style>
  <w:style w:type="character" w:styleId="13">
    <w:name w:val="Strong"/>
    <w:qFormat/>
    <w:uiPriority w:val="22"/>
    <w:rPr>
      <w:b/>
      <w:bCs/>
    </w:rPr>
  </w:style>
  <w:style w:type="character" w:styleId="14">
    <w:name w:val="HTML Variable"/>
    <w:qFormat/>
    <w:uiPriority w:val="0"/>
    <w:rPr>
      <w:rFonts w:cs="Times New Roman"/>
    </w:rPr>
  </w:style>
  <w:style w:type="character" w:styleId="15">
    <w:name w:val="Hyperlink"/>
    <w:basedOn w:val="12"/>
    <w:unhideWhenUsed/>
    <w:qFormat/>
    <w:uiPriority w:val="99"/>
    <w:rPr>
      <w:color w:val="0000FF"/>
      <w:u w:val="single"/>
    </w:rPr>
  </w:style>
  <w:style w:type="character" w:styleId="16">
    <w:name w:val="annotation reference"/>
    <w:basedOn w:val="12"/>
    <w:qFormat/>
    <w:uiPriority w:val="0"/>
    <w:rPr>
      <w:sz w:val="21"/>
      <w:szCs w:val="21"/>
    </w:rPr>
  </w:style>
  <w:style w:type="table" w:styleId="18">
    <w:name w:val="Table Grid"/>
    <w:basedOn w:val="17"/>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批注框文本 Char"/>
    <w:link w:val="8"/>
    <w:qFormat/>
    <w:uiPriority w:val="0"/>
    <w:rPr>
      <w:kern w:val="24"/>
      <w:sz w:val="18"/>
      <w:szCs w:val="18"/>
    </w:rPr>
  </w:style>
  <w:style w:type="character" w:customStyle="1" w:styleId="20">
    <w:name w:val="页眉 Char"/>
    <w:link w:val="10"/>
    <w:qFormat/>
    <w:uiPriority w:val="0"/>
    <w:rPr>
      <w:kern w:val="24"/>
      <w:sz w:val="18"/>
      <w:szCs w:val="18"/>
    </w:rPr>
  </w:style>
  <w:style w:type="character" w:customStyle="1" w:styleId="21">
    <w:name w:val="楷体_GB2312"/>
    <w:qFormat/>
    <w:uiPriority w:val="0"/>
    <w:rPr>
      <w:rFonts w:ascii="Times New Roman" w:hAnsi="Times New Roman" w:eastAsia="楷体_GB2312"/>
      <w:sz w:val="24"/>
      <w:szCs w:val="24"/>
    </w:rPr>
  </w:style>
  <w:style w:type="paragraph" w:customStyle="1" w:styleId="22">
    <w:name w:val="样式 楷体_GB2312 首行缩进:  2 字符"/>
    <w:basedOn w:val="1"/>
    <w:qFormat/>
    <w:uiPriority w:val="0"/>
    <w:rPr>
      <w:rFonts w:eastAsia="楷体_GB2312" w:cs="宋体"/>
    </w:rPr>
  </w:style>
  <w:style w:type="paragraph" w:customStyle="1" w:styleId="23">
    <w:name w:val="列出段落1"/>
    <w:basedOn w:val="1"/>
    <w:link w:val="42"/>
    <w:qFormat/>
    <w:uiPriority w:val="34"/>
    <w:pPr>
      <w:ind w:firstLine="420" w:firstLineChars="200"/>
    </w:pPr>
  </w:style>
  <w:style w:type="character" w:customStyle="1" w:styleId="24">
    <w:name w:val="标题 2 Char"/>
    <w:link w:val="3"/>
    <w:qFormat/>
    <w:uiPriority w:val="0"/>
    <w:rPr>
      <w:rFonts w:ascii="等线 Light" w:hAnsi="等线 Light" w:eastAsia="等线 Light" w:cs="Times New Roman"/>
      <w:b/>
      <w:bCs/>
      <w:kern w:val="24"/>
      <w:sz w:val="32"/>
      <w:szCs w:val="32"/>
    </w:rPr>
  </w:style>
  <w:style w:type="character" w:customStyle="1" w:styleId="25">
    <w:name w:val="标题 3 Char"/>
    <w:link w:val="4"/>
    <w:qFormat/>
    <w:uiPriority w:val="9"/>
    <w:rPr>
      <w:b/>
      <w:bCs/>
      <w:kern w:val="24"/>
      <w:sz w:val="32"/>
      <w:szCs w:val="32"/>
    </w:rPr>
  </w:style>
  <w:style w:type="character" w:customStyle="1" w:styleId="26">
    <w:name w:val="文档结构图 Char"/>
    <w:link w:val="7"/>
    <w:qFormat/>
    <w:uiPriority w:val="0"/>
    <w:rPr>
      <w:rFonts w:ascii="宋体"/>
      <w:kern w:val="24"/>
      <w:sz w:val="18"/>
      <w:szCs w:val="18"/>
    </w:rPr>
  </w:style>
  <w:style w:type="character" w:customStyle="1" w:styleId="27">
    <w:name w:val="标题 1 Char"/>
    <w:link w:val="2"/>
    <w:qFormat/>
    <w:locked/>
    <w:uiPriority w:val="0"/>
    <w:rPr>
      <w:rFonts w:ascii="黑体" w:hAnsi="黑体" w:eastAsia="黑体"/>
      <w:kern w:val="24"/>
      <w:sz w:val="36"/>
      <w:szCs w:val="36"/>
    </w:rPr>
  </w:style>
  <w:style w:type="paragraph" w:customStyle="1" w:styleId="28">
    <w:name w:val="4.1 XX优惠"/>
    <w:basedOn w:val="3"/>
    <w:link w:val="29"/>
    <w:qFormat/>
    <w:uiPriority w:val="0"/>
    <w:pPr>
      <w:spacing w:before="660" w:line="240" w:lineRule="auto"/>
    </w:pPr>
    <w:rPr>
      <w:rFonts w:ascii="Arial" w:hAnsi="Arial" w:eastAsia="黑体"/>
    </w:rPr>
  </w:style>
  <w:style w:type="character" w:customStyle="1" w:styleId="29">
    <w:name w:val="4.1 XX优惠 字符"/>
    <w:link w:val="28"/>
    <w:qFormat/>
    <w:uiPriority w:val="0"/>
    <w:rPr>
      <w:rFonts w:ascii="Arial" w:hAnsi="Arial" w:eastAsia="黑体"/>
      <w:b/>
      <w:bCs/>
      <w:kern w:val="24"/>
      <w:sz w:val="32"/>
      <w:szCs w:val="32"/>
    </w:rPr>
  </w:style>
  <w:style w:type="paragraph" w:customStyle="1" w:styleId="30">
    <w:name w:val="5.1证明"/>
    <w:basedOn w:val="28"/>
    <w:link w:val="32"/>
    <w:qFormat/>
    <w:uiPriority w:val="0"/>
  </w:style>
  <w:style w:type="paragraph" w:customStyle="1" w:styleId="31">
    <w:name w:val="4.1.1 XX优惠"/>
    <w:basedOn w:val="4"/>
    <w:link w:val="33"/>
    <w:qFormat/>
    <w:uiPriority w:val="0"/>
    <w:pPr>
      <w:keepLines w:val="0"/>
      <w:snapToGrid w:val="0"/>
      <w:spacing w:before="0" w:afterLines="125" w:line="240" w:lineRule="auto"/>
    </w:pPr>
    <w:rPr>
      <w:rFonts w:ascii="Times New Roman" w:hAnsi="Times New Roman" w:eastAsia="黑体"/>
      <w:sz w:val="28"/>
      <w:szCs w:val="28"/>
    </w:rPr>
  </w:style>
  <w:style w:type="character" w:customStyle="1" w:styleId="32">
    <w:name w:val="5.1证明 字符"/>
    <w:basedOn w:val="29"/>
    <w:link w:val="30"/>
    <w:qFormat/>
    <w:uiPriority w:val="0"/>
    <w:rPr>
      <w:rFonts w:ascii="Arial" w:hAnsi="Arial" w:eastAsia="黑体"/>
      <w:kern w:val="24"/>
      <w:sz w:val="32"/>
      <w:szCs w:val="32"/>
    </w:rPr>
  </w:style>
  <w:style w:type="character" w:customStyle="1" w:styleId="33">
    <w:name w:val="4.1.1 XX优惠 字符"/>
    <w:link w:val="31"/>
    <w:qFormat/>
    <w:uiPriority w:val="0"/>
    <w:rPr>
      <w:rFonts w:ascii="Times New Roman" w:hAnsi="Times New Roman" w:eastAsia="黑体"/>
      <w:b/>
      <w:bCs/>
      <w:kern w:val="24"/>
      <w:sz w:val="28"/>
      <w:szCs w:val="28"/>
    </w:rPr>
  </w:style>
  <w:style w:type="paragraph" w:customStyle="1" w:styleId="34">
    <w:name w:val="5.1.1 完税"/>
    <w:basedOn w:val="31"/>
    <w:link w:val="36"/>
    <w:qFormat/>
    <w:uiPriority w:val="0"/>
  </w:style>
  <w:style w:type="paragraph" w:customStyle="1" w:styleId="35">
    <w:name w:val="标签"/>
    <w:basedOn w:val="1"/>
    <w:link w:val="37"/>
    <w:qFormat/>
    <w:uiPriority w:val="0"/>
    <w:pPr>
      <w:numPr>
        <w:ilvl w:val="0"/>
        <w:numId w:val="1"/>
      </w:numPr>
      <w:ind w:left="930"/>
    </w:pPr>
    <w:rPr>
      <w:rFonts w:ascii="Times New Roman" w:hAnsi="Times New Roman"/>
      <w:lang w:val="zh-CN"/>
    </w:rPr>
  </w:style>
  <w:style w:type="character" w:customStyle="1" w:styleId="36">
    <w:name w:val="5.1.1 完税 字符"/>
    <w:basedOn w:val="33"/>
    <w:link w:val="34"/>
    <w:qFormat/>
    <w:uiPriority w:val="0"/>
    <w:rPr>
      <w:rFonts w:ascii="Times New Roman" w:hAnsi="Times New Roman" w:eastAsia="黑体"/>
      <w:kern w:val="24"/>
      <w:sz w:val="28"/>
      <w:szCs w:val="28"/>
    </w:rPr>
  </w:style>
  <w:style w:type="character" w:customStyle="1" w:styleId="37">
    <w:name w:val="标签 字符"/>
    <w:link w:val="35"/>
    <w:qFormat/>
    <w:uiPriority w:val="0"/>
    <w:rPr>
      <w:rFonts w:ascii="Times New Roman" w:hAnsi="Times New Roman"/>
      <w:kern w:val="24"/>
      <w:sz w:val="24"/>
      <w:szCs w:val="24"/>
    </w:rPr>
  </w:style>
  <w:style w:type="paragraph" w:customStyle="1" w:styleId="38">
    <w:name w:val="【事项描】"/>
    <w:basedOn w:val="1"/>
    <w:link w:val="39"/>
    <w:qFormat/>
    <w:uiPriority w:val="0"/>
    <w:pPr>
      <w:snapToGrid w:val="0"/>
      <w:spacing w:line="360" w:lineRule="auto"/>
      <w:ind w:firstLine="482" w:firstLineChars="200"/>
    </w:pPr>
    <w:rPr>
      <w:rFonts w:ascii="宋体" w:hAnsi="宋体"/>
      <w:b/>
      <w:lang w:val="zh-CN"/>
    </w:rPr>
  </w:style>
  <w:style w:type="character" w:customStyle="1" w:styleId="39">
    <w:name w:val="【事项描】 字符"/>
    <w:link w:val="38"/>
    <w:qFormat/>
    <w:uiPriority w:val="0"/>
    <w:rPr>
      <w:rFonts w:ascii="宋体" w:hAnsi="宋体"/>
      <w:b/>
      <w:kern w:val="2"/>
      <w:sz w:val="24"/>
      <w:szCs w:val="24"/>
    </w:rPr>
  </w:style>
  <w:style w:type="paragraph" w:customStyle="1" w:styleId="40">
    <w:name w:val="正文正文"/>
    <w:basedOn w:val="1"/>
    <w:link w:val="41"/>
    <w:qFormat/>
    <w:uiPriority w:val="0"/>
    <w:pPr>
      <w:snapToGrid w:val="0"/>
      <w:spacing w:line="360" w:lineRule="auto"/>
      <w:ind w:firstLine="480" w:firstLineChars="200"/>
    </w:pPr>
    <w:rPr>
      <w:rFonts w:ascii="宋体" w:hAnsi="宋体"/>
      <w:lang w:val="zh-CN"/>
    </w:rPr>
  </w:style>
  <w:style w:type="character" w:customStyle="1" w:styleId="41">
    <w:name w:val="正文正文 字符"/>
    <w:link w:val="40"/>
    <w:qFormat/>
    <w:uiPriority w:val="0"/>
    <w:rPr>
      <w:rFonts w:ascii="宋体" w:hAnsi="宋体"/>
      <w:kern w:val="2"/>
      <w:sz w:val="24"/>
      <w:szCs w:val="24"/>
    </w:rPr>
  </w:style>
  <w:style w:type="character" w:customStyle="1" w:styleId="42">
    <w:name w:val="列表段落 字符"/>
    <w:basedOn w:val="12"/>
    <w:link w:val="23"/>
    <w:qFormat/>
    <w:uiPriority w:val="34"/>
    <w:rPr>
      <w:kern w:val="2"/>
      <w:sz w:val="21"/>
      <w:szCs w:val="22"/>
    </w:rPr>
  </w:style>
  <w:style w:type="paragraph" w:customStyle="1" w:styleId="43">
    <w:name w:val="标签标签"/>
    <w:basedOn w:val="44"/>
    <w:link w:val="45"/>
    <w:qFormat/>
    <w:uiPriority w:val="0"/>
    <w:pPr>
      <w:numPr>
        <w:ilvl w:val="0"/>
        <w:numId w:val="2"/>
      </w:numPr>
      <w:snapToGrid w:val="0"/>
      <w:spacing w:beforeLines="25" w:afterLines="25" w:line="360" w:lineRule="auto"/>
      <w:ind w:left="0" w:firstLine="480"/>
    </w:pPr>
    <w:rPr>
      <w:rFonts w:ascii="黑体" w:hAnsi="黑体" w:eastAsia="黑体"/>
    </w:rPr>
  </w:style>
  <w:style w:type="paragraph" w:customStyle="1" w:styleId="44">
    <w:name w:val="List Paragraph"/>
    <w:basedOn w:val="1"/>
    <w:qFormat/>
    <w:uiPriority w:val="34"/>
    <w:pPr>
      <w:ind w:firstLine="420" w:firstLineChars="200"/>
    </w:pPr>
  </w:style>
  <w:style w:type="character" w:customStyle="1" w:styleId="45">
    <w:name w:val="标签标签 字符"/>
    <w:basedOn w:val="42"/>
    <w:link w:val="43"/>
    <w:qFormat/>
    <w:uiPriority w:val="0"/>
    <w:rPr>
      <w:rFonts w:ascii="黑体" w:hAnsi="黑体" w:eastAsia="黑体"/>
      <w:kern w:val="24"/>
      <w:sz w:val="24"/>
      <w:szCs w:val="24"/>
    </w:rPr>
  </w:style>
  <w:style w:type="paragraph" w:customStyle="1" w:styleId="46">
    <w:name w:val="样式1【标准】"/>
    <w:basedOn w:val="2"/>
    <w:link w:val="47"/>
    <w:qFormat/>
    <w:uiPriority w:val="0"/>
    <w:pPr>
      <w:keepNext/>
      <w:keepLines/>
      <w:tabs>
        <w:tab w:val="center" w:pos="4153"/>
        <w:tab w:val="left" w:pos="6771"/>
      </w:tabs>
      <w:topLinePunct/>
      <w:adjustRightInd w:val="0"/>
      <w:spacing w:beforeLines="100" w:afterLines="100" w:line="360" w:lineRule="auto"/>
      <w:ind w:firstLine="723" w:firstLineChars="200"/>
    </w:pPr>
    <w:rPr>
      <w:rFonts w:ascii="Times New Roman" w:hAnsi="Times New Roman" w:cs="Times New Roman"/>
      <w:b/>
      <w:kern w:val="24"/>
      <w:lang w:val="en-US"/>
    </w:rPr>
  </w:style>
  <w:style w:type="character" w:customStyle="1" w:styleId="47">
    <w:name w:val="样式1【标准】 字符"/>
    <w:basedOn w:val="27"/>
    <w:link w:val="46"/>
    <w:qFormat/>
    <w:uiPriority w:val="0"/>
    <w:rPr>
      <w:rFonts w:ascii="Times New Roman" w:hAnsi="Times New Roman" w:eastAsia="黑体" w:cs="Times New Roman"/>
      <w:b/>
      <w:kern w:val="24"/>
      <w:sz w:val="36"/>
      <w:szCs w:val="36"/>
    </w:rPr>
  </w:style>
  <w:style w:type="paragraph" w:customStyle="1" w:styleId="48">
    <w:name w:val="二级标题"/>
    <w:basedOn w:val="3"/>
    <w:link w:val="49"/>
    <w:qFormat/>
    <w:uiPriority w:val="0"/>
    <w:pPr>
      <w:spacing w:beforeLines="150" w:afterLines="150" w:line="360" w:lineRule="auto"/>
      <w:ind w:firstLine="643" w:firstLineChars="200"/>
    </w:pPr>
    <w:rPr>
      <w:rFonts w:ascii="Times New Roman" w:hAnsi="Times New Roman" w:eastAsia="黑体" w:cs="Times New Roman"/>
      <w:lang w:val="en-US"/>
    </w:rPr>
  </w:style>
  <w:style w:type="character" w:customStyle="1" w:styleId="49">
    <w:name w:val="二级标题 字符"/>
    <w:basedOn w:val="12"/>
    <w:link w:val="48"/>
    <w:qFormat/>
    <w:uiPriority w:val="0"/>
    <w:rPr>
      <w:rFonts w:ascii="Times New Roman" w:hAnsi="Times New Roman" w:eastAsia="黑体" w:cs="Times New Roman"/>
      <w:b/>
      <w:bCs/>
      <w:kern w:val="2"/>
      <w:sz w:val="32"/>
      <w:szCs w:val="32"/>
    </w:rPr>
  </w:style>
  <w:style w:type="table" w:customStyle="1" w:styleId="50">
    <w:name w:val="样式2"/>
    <w:basedOn w:val="17"/>
    <w:qFormat/>
    <w:uiPriority w:val="99"/>
    <w:rPr>
      <w:kern w:val="2"/>
      <w:sz w:val="21"/>
      <w:szCs w:val="22"/>
    </w:rPr>
    <w:tblPr>
      <w:tblLayout w:type="fixed"/>
      <w:tblCellMar>
        <w:top w:w="0" w:type="dxa"/>
        <w:left w:w="108" w:type="dxa"/>
        <w:bottom w:w="0" w:type="dxa"/>
        <w:right w:w="108" w:type="dxa"/>
      </w:tblCellMar>
    </w:tblPr>
  </w:style>
  <w:style w:type="character" w:customStyle="1" w:styleId="51">
    <w:name w:val="批注文字 Char"/>
    <w:basedOn w:val="12"/>
    <w:link w:val="6"/>
    <w:qFormat/>
    <w:uiPriority w:val="0"/>
    <w:rPr>
      <w:rFonts w:eastAsia="仿宋_GB2312"/>
      <w:kern w:val="2"/>
      <w:sz w:val="24"/>
      <w:szCs w:val="22"/>
    </w:rPr>
  </w:style>
  <w:style w:type="character" w:customStyle="1" w:styleId="52">
    <w:name w:val="批注主题 Char"/>
    <w:basedOn w:val="51"/>
    <w:link w:val="5"/>
    <w:qFormat/>
    <w:uiPriority w:val="0"/>
    <w:rPr>
      <w:rFonts w:eastAsia="仿宋_GB2312"/>
      <w:b/>
      <w:bCs/>
      <w:kern w:val="2"/>
      <w:sz w:val="21"/>
      <w:szCs w:val="22"/>
    </w:rPr>
  </w:style>
  <w:style w:type="paragraph" w:customStyle="1" w:styleId="53">
    <w:name w:val="材料 表头"/>
    <w:basedOn w:val="54"/>
    <w:qFormat/>
    <w:uiPriority w:val="0"/>
  </w:style>
  <w:style w:type="paragraph" w:customStyle="1" w:styleId="54">
    <w:name w:val="政策 表头"/>
    <w:basedOn w:val="1"/>
    <w:qFormat/>
    <w:uiPriority w:val="0"/>
    <w:pPr>
      <w:ind w:firstLine="0" w:firstLineChars="0"/>
      <w:jc w:val="center"/>
    </w:pPr>
    <w:rPr>
      <w:rFonts w:ascii="黑体" w:hAnsi="黑体" w:eastAsia="黑体"/>
      <w:sz w:val="21"/>
      <w:szCs w:val="21"/>
      <w:lang w:val="zh-CN"/>
    </w:rPr>
  </w:style>
  <w:style w:type="paragraph" w:customStyle="1" w:styleId="55">
    <w:name w:val="材料 文本"/>
    <w:basedOn w:val="1"/>
    <w:qFormat/>
    <w:uiPriority w:val="0"/>
    <w:pPr>
      <w:ind w:firstLine="0" w:firstLineChars="0"/>
      <w:jc w:val="center"/>
    </w:pPr>
    <w:rPr>
      <w:rFonts w:ascii="黑体" w:hAnsi="黑体" w:eastAsia="黑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530973-B2B4-4187-B718-D515DD3E6FB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3870</Words>
  <Characters>3998</Characters>
  <Lines>30</Lines>
  <Paragraphs>8</Paragraphs>
  <TotalTime>1</TotalTime>
  <ScaleCrop>false</ScaleCrop>
  <LinksUpToDate>false</LinksUpToDate>
  <CharactersWithSpaces>4009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2019-07-03T19:47:00Z</dcterms:created>
  <dc:creator>鲍倩钰</dc:creator>
  <cp:lastModifiedBy>李琳</cp:lastModifiedBy>
  <dcterms:modified xsi:type="dcterms:W3CDTF">2019-10-23T01:17:16Z</dcterms:modified>
  <dc:title>5 证明办理规范</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