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Nimbus Roman No9 L" w:hAnsi="Nimbus Roman No9 L" w:eastAsia="仿宋_GB2312" w:cs="Nimbus Roman No9 L"/>
          <w:sz w:val="32"/>
          <w:szCs w:val="32"/>
        </w:rPr>
      </w:pPr>
      <w:bookmarkStart w:id="1" w:name="_GoBack"/>
      <w:bookmarkEnd w:id="1"/>
      <w:r>
        <w:rPr>
          <w:rFonts w:hint="default" w:ascii="Nimbus Roman No9 L" w:hAnsi="Nimbus Roman No9 L" w:eastAsia="黑体" w:cs="Nimbus Roman No9 L"/>
          <w:b w:val="0"/>
          <w:bCs w:val="0"/>
          <w:color w:val="auto"/>
          <w:sz w:val="32"/>
          <w:szCs w:val="32"/>
          <w:highlight w:val="none"/>
          <w:shd w:val="clear" w:color="auto" w:fill="auto"/>
          <w:lang w:eastAsia="zh-CN"/>
        </w:rPr>
        <w:t>附件</w:t>
      </w:r>
    </w:p>
    <w:p>
      <w:pPr>
        <w:pStyle w:val="2"/>
        <w:rPr>
          <w:rFonts w:hint="default" w:ascii="Nimbus Roman No9 L" w:hAnsi="Nimbus Roman No9 L" w:eastAsia="仿宋_GB2312" w:cs="Nimbus Roman No9 L"/>
          <w:sz w:val="32"/>
          <w:szCs w:val="32"/>
        </w:rPr>
      </w:pPr>
    </w:p>
    <w:p>
      <w:pPr>
        <w:spacing w:line="560" w:lineRule="exact"/>
        <w:jc w:val="center"/>
        <w:rPr>
          <w:rFonts w:hint="default" w:ascii="Nimbus Roman No9 L" w:hAnsi="Nimbus Roman No9 L" w:eastAsia="方正小标宋_GBK" w:cs="Nimbus Roman No9 L"/>
          <w:sz w:val="44"/>
          <w:szCs w:val="44"/>
        </w:rPr>
      </w:pPr>
      <w:r>
        <w:rPr>
          <w:rFonts w:hint="default" w:ascii="Nimbus Roman No9 L" w:hAnsi="Nimbus Roman No9 L" w:eastAsia="方正小标宋_GBK" w:cs="Nimbus Roman No9 L"/>
          <w:sz w:val="44"/>
          <w:szCs w:val="44"/>
        </w:rPr>
        <w:t>天津市天使投资引导基金管理暂行办法</w:t>
      </w:r>
    </w:p>
    <w:p>
      <w:pPr>
        <w:spacing w:line="560" w:lineRule="exact"/>
        <w:jc w:val="center"/>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w:t>
      </w:r>
      <w:r>
        <w:rPr>
          <w:rFonts w:hint="eastAsia" w:ascii="Nimbus Roman No9 L" w:hAnsi="Nimbus Roman No9 L" w:eastAsia="楷体_GB2312" w:cs="Nimbus Roman No9 L"/>
          <w:sz w:val="32"/>
          <w:szCs w:val="32"/>
          <w:lang w:eastAsia="zh-CN"/>
        </w:rPr>
        <w:t>征求意见</w:t>
      </w:r>
      <w:r>
        <w:rPr>
          <w:rFonts w:hint="default" w:ascii="Nimbus Roman No9 L" w:hAnsi="Nimbus Roman No9 L" w:eastAsia="楷体_GB2312" w:cs="Nimbus Roman No9 L"/>
          <w:sz w:val="32"/>
          <w:szCs w:val="32"/>
        </w:rPr>
        <w:t>稿）</w:t>
      </w:r>
    </w:p>
    <w:p>
      <w:pPr>
        <w:pStyle w:val="2"/>
        <w:rPr>
          <w:rFonts w:hint="default" w:ascii="Nimbus Roman No9 L" w:hAnsi="Nimbus Roman No9 L" w:eastAsia="仿宋_GB2312" w:cs="Nimbus Roman No9 L"/>
          <w:sz w:val="32"/>
          <w:szCs w:val="32"/>
        </w:rPr>
      </w:pPr>
    </w:p>
    <w:p>
      <w:pPr>
        <w:pStyle w:val="10"/>
        <w:spacing w:line="560" w:lineRule="exact"/>
        <w:ind w:firstLine="0" w:firstLineChars="0"/>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第一章  总  则</w:t>
      </w:r>
    </w:p>
    <w:p>
      <w:pPr>
        <w:pStyle w:val="10"/>
        <w:spacing w:line="560" w:lineRule="exact"/>
        <w:ind w:firstLine="0" w:firstLineChars="0"/>
        <w:jc w:val="center"/>
        <w:rPr>
          <w:rFonts w:hint="default" w:ascii="Nimbus Roman No9 L" w:hAnsi="Nimbus Roman No9 L" w:eastAsia="黑体" w:cs="Nimbus Roman No9 L"/>
          <w:sz w:val="32"/>
          <w:szCs w:val="32"/>
        </w:rPr>
      </w:pP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第一条 </w:t>
      </w:r>
      <w:r>
        <w:rPr>
          <w:rFonts w:hint="default" w:ascii="Nimbus Roman No9 L" w:hAnsi="Nimbus Roman No9 L" w:eastAsia="仿宋_GB2312" w:cs="Nimbus Roman No9 L"/>
          <w:sz w:val="32"/>
          <w:szCs w:val="32"/>
        </w:rPr>
        <w:t>为落实《中共天津市委关于制定天津市国民经济和社会发展第十四个五年规划和二〇三五年远景目标的建议》、《天津市人民政府办公厅关于印发天津市科技创新</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十四五</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规划的通知》（津政办发〔2021〕32号）和《天津市科技创新三年行动计划（2020—2022年）》（津政发〔2020〕23号），助力打造自主创新重要源头和原始创新主要策源地，引导社会资本投早、投小、投</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硬科技</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，加快科技成果转化、促进产业发展，</w:t>
      </w:r>
      <w:r>
        <w:rPr>
          <w:rFonts w:hint="default" w:ascii="Nimbus Roman No9 L" w:hAnsi="Nimbus Roman No9 L" w:eastAsia="仿宋_GB2312" w:cs="Nimbus Roman No9 L"/>
          <w:sz w:val="32"/>
          <w:szCs w:val="32"/>
          <w:lang w:eastAsia="zh-CN"/>
        </w:rPr>
        <w:t>设立天津市天使投资引导基金（以下简称天津市天使母基金），为规范天津市天使母基金管理，</w:t>
      </w:r>
      <w:r>
        <w:rPr>
          <w:rFonts w:hint="default" w:ascii="Nimbus Roman No9 L" w:hAnsi="Nimbus Roman No9 L" w:eastAsia="仿宋_GB2312" w:cs="Nimbus Roman No9 L"/>
          <w:sz w:val="32"/>
          <w:szCs w:val="32"/>
        </w:rPr>
        <w:t>特制定本办法。</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第二条 </w:t>
      </w:r>
      <w:r>
        <w:rPr>
          <w:rFonts w:hint="default" w:ascii="Nimbus Roman No9 L" w:hAnsi="Nimbus Roman No9 L" w:eastAsia="仿宋_GB2312" w:cs="Nimbus Roman No9 L"/>
          <w:sz w:val="32"/>
          <w:szCs w:val="32"/>
        </w:rPr>
        <w:t>天津市天使母基金目标总规模100亿元</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首期</w:t>
      </w:r>
      <w:r>
        <w:rPr>
          <w:rFonts w:hint="eastAsia"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rPr>
        <w:t>0亿元，采用</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1+N</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模式，设立市、区两级联动的天使母基金群。市级层面设立</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天津市天使投资引导基金合伙企业（有限合伙）</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w:t>
      </w:r>
      <w:r>
        <w:rPr>
          <w:rFonts w:hint="eastAsia" w:ascii="Nimbus Roman No9 L" w:hAnsi="Nimbus Roman No9 L" w:eastAsia="仿宋_GB2312" w:cs="Nimbus Roman No9 L"/>
          <w:sz w:val="32"/>
          <w:szCs w:val="32"/>
          <w:lang w:eastAsia="zh-CN"/>
        </w:rPr>
        <w:t>以下</w:t>
      </w:r>
      <w:r>
        <w:rPr>
          <w:rFonts w:hint="default" w:ascii="Nimbus Roman No9 L" w:hAnsi="Nimbus Roman No9 L" w:eastAsia="仿宋_GB2312" w:cs="Nimbus Roman No9 L"/>
          <w:sz w:val="32"/>
          <w:szCs w:val="32"/>
        </w:rPr>
        <w:t>简称市级天使母基金）。在海河产业基金联合相关区域设立的区域性的产业基金中，设定一定比例作为区级天使母基金额度</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不</w:t>
      </w:r>
      <w:r>
        <w:rPr>
          <w:rFonts w:hint="eastAsia" w:ascii="Nimbus Roman No9 L" w:hAnsi="Nimbus Roman No9 L" w:eastAsia="仿宋_GB2312" w:cs="Nimbus Roman No9 L"/>
          <w:sz w:val="32"/>
          <w:szCs w:val="32"/>
          <w:lang w:eastAsia="zh-CN"/>
        </w:rPr>
        <w:t>再单独设立企业主体），同时鼓励相关区域采取其他方式设立区级天使母基金</w:t>
      </w:r>
      <w:r>
        <w:rPr>
          <w:rFonts w:hint="default" w:ascii="Nimbus Roman No9 L" w:hAnsi="Nimbus Roman No9 L" w:eastAsia="仿宋_GB2312" w:cs="Nimbus Roman No9 L"/>
          <w:sz w:val="32"/>
          <w:szCs w:val="32"/>
          <w:lang w:eastAsia="zh-CN"/>
        </w:rPr>
        <w:t>（</w:t>
      </w:r>
      <w:r>
        <w:rPr>
          <w:rFonts w:hint="eastAsia" w:ascii="Nimbus Roman No9 L" w:hAnsi="Nimbus Roman No9 L" w:eastAsia="仿宋_GB2312" w:cs="Nimbus Roman No9 L"/>
          <w:sz w:val="32"/>
          <w:szCs w:val="32"/>
          <w:lang w:eastAsia="zh-CN"/>
        </w:rPr>
        <w:t>以下统称</w:t>
      </w:r>
      <w:r>
        <w:rPr>
          <w:rFonts w:hint="default" w:ascii="Nimbus Roman No9 L" w:hAnsi="Nimbus Roman No9 L" w:eastAsia="仿宋_GB2312" w:cs="Nimbus Roman No9 L"/>
          <w:sz w:val="32"/>
          <w:szCs w:val="32"/>
          <w:lang w:eastAsia="zh-CN"/>
        </w:rPr>
        <w:t>区级天使母基金）</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天使母基金利息和回收资金滚动使用。</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第三条 </w:t>
      </w:r>
      <w:r>
        <w:rPr>
          <w:rFonts w:hint="default" w:ascii="Nimbus Roman No9 L" w:hAnsi="Nimbus Roman No9 L" w:eastAsia="仿宋_GB2312" w:cs="Nimbus Roman No9 L"/>
          <w:sz w:val="32"/>
          <w:szCs w:val="32"/>
        </w:rPr>
        <w:t>市级天使母基金采取有限合伙制的组织形式，遵循</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政府引导、市场运作、科学决策、防范风险</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的管理原则，运作模式为参股子基金</w:t>
      </w:r>
      <w:r>
        <w:rPr>
          <w:rFonts w:hint="default" w:ascii="Nimbus Roman No9 L" w:hAnsi="Nimbus Roman No9 L" w:eastAsia="仿宋_GB2312" w:cs="Nimbus Roman No9 L"/>
          <w:sz w:val="32"/>
          <w:szCs w:val="32"/>
          <w:lang w:eastAsia="zh-CN"/>
        </w:rPr>
        <w:t>和市场化跟投</w:t>
      </w:r>
      <w:r>
        <w:rPr>
          <w:rFonts w:hint="default" w:ascii="Nimbus Roman No9 L" w:hAnsi="Nimbus Roman No9 L" w:eastAsia="仿宋_GB2312" w:cs="Nimbus Roman No9 L"/>
          <w:sz w:val="32"/>
          <w:szCs w:val="32"/>
        </w:rPr>
        <w:t>。</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市级天使母基金可设立跟投子基金，可跟投市场化子基金投资的项目，也可直接或通过项目基金投资有利于天使母基金政策目标实现、壮大基金实力的优质项目。</w:t>
      </w:r>
    </w:p>
    <w:p>
      <w:pPr>
        <w:spacing w:line="560" w:lineRule="exact"/>
        <w:ind w:firstLine="640" w:firstLineChars="200"/>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市级天使</w:t>
      </w:r>
      <w:r>
        <w:rPr>
          <w:rFonts w:hint="default" w:ascii="Nimbus Roman No9 L" w:hAnsi="Nimbus Roman No9 L" w:eastAsia="仿宋_GB2312" w:cs="Nimbus Roman No9 L"/>
          <w:sz w:val="32"/>
          <w:szCs w:val="32"/>
          <w:lang w:eastAsia="zh-CN"/>
        </w:rPr>
        <w:t>母</w:t>
      </w:r>
      <w:r>
        <w:rPr>
          <w:rFonts w:hint="default" w:ascii="Nimbus Roman No9 L" w:hAnsi="Nimbus Roman No9 L" w:eastAsia="仿宋_GB2312" w:cs="Nimbus Roman No9 L"/>
          <w:sz w:val="32"/>
          <w:szCs w:val="32"/>
        </w:rPr>
        <w:t>基金用于市场化跟投的资金不高于市级天使</w:t>
      </w:r>
      <w:r>
        <w:rPr>
          <w:rFonts w:hint="default" w:ascii="Nimbus Roman No9 L" w:hAnsi="Nimbus Roman No9 L" w:eastAsia="仿宋_GB2312" w:cs="Nimbus Roman No9 L"/>
          <w:sz w:val="32"/>
          <w:szCs w:val="32"/>
          <w:lang w:eastAsia="zh-CN"/>
        </w:rPr>
        <w:t>母</w:t>
      </w:r>
      <w:r>
        <w:rPr>
          <w:rFonts w:hint="default" w:ascii="Nimbus Roman No9 L" w:hAnsi="Nimbus Roman No9 L" w:eastAsia="仿宋_GB2312" w:cs="Nimbus Roman No9 L"/>
          <w:sz w:val="32"/>
          <w:szCs w:val="32"/>
        </w:rPr>
        <w:t>基金实缴总额的20%。</w:t>
      </w:r>
    </w:p>
    <w:p>
      <w:pPr>
        <w:ind w:firstLine="640" w:firstLineChars="200"/>
        <w:rPr>
          <w:rFonts w:hint="default" w:ascii="Nimbus Roman No9 L" w:hAnsi="Nimbus Roman No9 L" w:cs="Nimbus Roman No9 L"/>
        </w:rPr>
      </w:pPr>
      <w:r>
        <w:rPr>
          <w:rFonts w:hint="default" w:ascii="Nimbus Roman No9 L" w:hAnsi="Nimbus Roman No9 L" w:eastAsia="黑体" w:cs="Nimbus Roman No9 L"/>
          <w:sz w:val="32"/>
          <w:szCs w:val="32"/>
        </w:rPr>
        <w:t>第四条</w:t>
      </w:r>
      <w:r>
        <w:rPr>
          <w:rFonts w:hint="default" w:ascii="Nimbus Roman No9 L" w:hAnsi="Nimbus Roman No9 L" w:cs="Nimbus Roman No9 L"/>
        </w:rPr>
        <w:t xml:space="preserve">  </w:t>
      </w:r>
      <w:bookmarkStart w:id="0" w:name="_Hlk90038516"/>
      <w:r>
        <w:rPr>
          <w:rFonts w:hint="default" w:ascii="Nimbus Roman No9 L" w:hAnsi="Nimbus Roman No9 L" w:eastAsia="仿宋_GB2312" w:cs="Nimbus Roman No9 L"/>
          <w:sz w:val="32"/>
          <w:szCs w:val="32"/>
        </w:rPr>
        <w:t>委托天津市海河产业基金管理有限公司为</w:t>
      </w:r>
      <w:r>
        <w:rPr>
          <w:rFonts w:hint="eastAsia"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天使母基金的管理机构</w:t>
      </w:r>
      <w:bookmarkEnd w:id="0"/>
      <w:r>
        <w:rPr>
          <w:rFonts w:hint="eastAsia" w:ascii="Nimbus Roman No9 L" w:hAnsi="Nimbus Roman No9 L" w:eastAsia="仿宋_GB2312" w:cs="Nimbus Roman No9 L"/>
          <w:sz w:val="32"/>
          <w:szCs w:val="32"/>
          <w:lang w:eastAsia="zh-CN"/>
        </w:rPr>
        <w:t>（以下简称天使母基金管理公司）</w:t>
      </w:r>
      <w:r>
        <w:rPr>
          <w:rFonts w:hint="default" w:ascii="Nimbus Roman No9 L" w:hAnsi="Nimbus Roman No9 L" w:eastAsia="仿宋_GB2312" w:cs="Nimbus Roman No9 L"/>
          <w:sz w:val="32"/>
          <w:szCs w:val="32"/>
        </w:rPr>
        <w:t>。</w:t>
      </w:r>
    </w:p>
    <w:p>
      <w:pPr>
        <w:spacing w:line="560" w:lineRule="exact"/>
        <w:ind w:left="426"/>
        <w:rPr>
          <w:rFonts w:hint="default" w:ascii="Nimbus Roman No9 L" w:hAnsi="Nimbus Roman No9 L" w:eastAsia="仿宋_GB2312" w:cs="Nimbus Roman No9 L"/>
          <w:sz w:val="32"/>
          <w:szCs w:val="32"/>
        </w:rPr>
      </w:pPr>
    </w:p>
    <w:p>
      <w:pPr>
        <w:pStyle w:val="10"/>
        <w:spacing w:line="560" w:lineRule="exact"/>
        <w:ind w:firstLine="0" w:firstLineChars="0"/>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 xml:space="preserve">第二章  </w:t>
      </w:r>
      <w:r>
        <w:rPr>
          <w:rFonts w:hint="default" w:ascii="Nimbus Roman No9 L" w:hAnsi="Nimbus Roman No9 L" w:eastAsia="黑体" w:cs="Nimbus Roman No9 L"/>
          <w:sz w:val="32"/>
          <w:szCs w:val="32"/>
          <w:lang w:eastAsia="zh-CN"/>
        </w:rPr>
        <w:t>市级天使母基金</w:t>
      </w:r>
      <w:r>
        <w:rPr>
          <w:rFonts w:hint="default" w:ascii="Nimbus Roman No9 L" w:hAnsi="Nimbus Roman No9 L" w:eastAsia="黑体" w:cs="Nimbus Roman No9 L"/>
          <w:sz w:val="32"/>
          <w:szCs w:val="32"/>
        </w:rPr>
        <w:t>管理架构</w:t>
      </w:r>
    </w:p>
    <w:p>
      <w:pPr>
        <w:spacing w:line="560" w:lineRule="exact"/>
        <w:ind w:firstLine="640" w:firstLineChars="200"/>
        <w:rPr>
          <w:rFonts w:hint="default" w:ascii="Nimbus Roman No9 L" w:hAnsi="Nimbus Roman No9 L" w:eastAsia="黑体" w:cs="Nimbus Roman No9 L"/>
          <w:sz w:val="32"/>
          <w:szCs w:val="32"/>
        </w:rPr>
      </w:pP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第五条 </w:t>
      </w:r>
      <w:r>
        <w:rPr>
          <w:rFonts w:hint="default" w:ascii="Nimbus Roman No9 L" w:hAnsi="Nimbus Roman No9 L" w:eastAsia="仿宋_GB2312" w:cs="Nimbus Roman No9 L"/>
          <w:sz w:val="32"/>
          <w:szCs w:val="32"/>
        </w:rPr>
        <w:t>市科技局会同市财政局统筹推进</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天使母基金筹备、设立、绩效管理和监督。</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（一）市科技局主要职责：</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1．会同市财政局制定天使母基金管理办法。</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2．向</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的投资决策委员会委派1名观察员，主要把控决策程序的合规性。</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3．对</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的相关工作进行部署、检查、指导、绩效管理和监督等工作。</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（二）市财政局主要职责：</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1．负责</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天使母基金的预算安排及资金拨付。</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2．根据工作需要适时组织重点绩效评价。</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第六条</w:t>
      </w:r>
      <w:r>
        <w:rPr>
          <w:rFonts w:hint="default" w:ascii="Nimbus Roman No9 L" w:hAnsi="Nimbus Roman No9 L" w:eastAsia="黑体" w:cs="Nimbus Roman No9 L"/>
          <w:sz w:val="32"/>
          <w:szCs w:val="32"/>
          <w:lang w:val="en-US" w:eastAsia="zh-CN"/>
        </w:rPr>
        <w:t xml:space="preserve"> </w:t>
      </w:r>
      <w:r>
        <w:rPr>
          <w:rFonts w:hint="default" w:ascii="Nimbus Roman No9 L" w:hAnsi="Nimbus Roman No9 L" w:eastAsia="仿宋_GB2312" w:cs="Nimbus Roman No9 L"/>
          <w:sz w:val="32"/>
          <w:szCs w:val="32"/>
          <w:lang w:val="en-US" w:eastAsia="zh-CN"/>
        </w:rPr>
        <w:t>天使</w:t>
      </w:r>
      <w:r>
        <w:rPr>
          <w:rFonts w:hint="default" w:ascii="Nimbus Roman No9 L" w:hAnsi="Nimbus Roman No9 L" w:eastAsia="仿宋_GB2312" w:cs="Nimbus Roman No9 L"/>
          <w:sz w:val="32"/>
          <w:szCs w:val="32"/>
        </w:rPr>
        <w:t>母基金</w:t>
      </w:r>
      <w:r>
        <w:rPr>
          <w:rFonts w:hint="default" w:ascii="Nimbus Roman No9 L" w:hAnsi="Nimbus Roman No9 L" w:eastAsia="仿宋_GB2312" w:cs="Nimbus Roman No9 L"/>
          <w:sz w:val="32"/>
          <w:szCs w:val="32"/>
          <w:lang w:val="en"/>
        </w:rPr>
        <w:t>管理公司</w:t>
      </w:r>
      <w:r>
        <w:rPr>
          <w:rFonts w:hint="default" w:ascii="Nimbus Roman No9 L" w:hAnsi="Nimbus Roman No9 L" w:eastAsia="仿宋_GB2312" w:cs="Nimbus Roman No9 L"/>
          <w:sz w:val="32"/>
          <w:szCs w:val="32"/>
        </w:rPr>
        <w:t>负责</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天使母基金的日常管理，主要职责如下：</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（一）宣传天使母基金管理办法，组织子基金申报和</w:t>
      </w:r>
      <w:r>
        <w:rPr>
          <w:rFonts w:hint="default" w:ascii="Nimbus Roman No9 L" w:hAnsi="Nimbus Roman No9 L" w:eastAsia="仿宋_GB2312" w:cs="Nimbus Roman No9 L"/>
          <w:sz w:val="32"/>
          <w:szCs w:val="32"/>
          <w:lang w:eastAsia="zh-CN"/>
        </w:rPr>
        <w:t>市级天使母基金的</w:t>
      </w:r>
      <w:r>
        <w:rPr>
          <w:rFonts w:hint="default" w:ascii="Nimbus Roman No9 L" w:hAnsi="Nimbus Roman No9 L" w:eastAsia="仿宋_GB2312" w:cs="Nimbus Roman No9 L"/>
          <w:sz w:val="32"/>
          <w:szCs w:val="32"/>
        </w:rPr>
        <w:t>市场化跟投工作。</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（二）受理</w:t>
      </w:r>
      <w:r>
        <w:rPr>
          <w:rFonts w:hint="default" w:ascii="Nimbus Roman No9 L" w:hAnsi="Nimbus Roman No9 L" w:eastAsia="仿宋_GB2312" w:cs="Nimbus Roman No9 L"/>
          <w:sz w:val="32"/>
          <w:szCs w:val="32"/>
          <w:lang w:eastAsia="zh-CN"/>
        </w:rPr>
        <w:t>申请市级天使母基金参股的</w:t>
      </w:r>
      <w:r>
        <w:rPr>
          <w:rFonts w:hint="default" w:ascii="Nimbus Roman No9 L" w:hAnsi="Nimbus Roman No9 L" w:eastAsia="仿宋_GB2312" w:cs="Nimbus Roman No9 L"/>
          <w:sz w:val="32"/>
          <w:szCs w:val="32"/>
        </w:rPr>
        <w:t>子基金</w:t>
      </w:r>
      <w:r>
        <w:rPr>
          <w:rFonts w:hint="eastAsia" w:ascii="Nimbus Roman No9 L" w:hAnsi="Nimbus Roman No9 L" w:eastAsia="仿宋_GB2312" w:cs="Nimbus Roman No9 L"/>
          <w:sz w:val="32"/>
          <w:szCs w:val="32"/>
          <w:lang w:eastAsia="zh-CN"/>
        </w:rPr>
        <w:t>材料</w:t>
      </w:r>
      <w:r>
        <w:rPr>
          <w:rFonts w:hint="default" w:ascii="Nimbus Roman No9 L" w:hAnsi="Nimbus Roman No9 L" w:eastAsia="仿宋_GB2312" w:cs="Nimbus Roman No9 L"/>
          <w:sz w:val="32"/>
          <w:szCs w:val="32"/>
        </w:rPr>
        <w:t>，开展形式审查和尽职调查。</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（三）建立</w:t>
      </w:r>
      <w:r>
        <w:rPr>
          <w:rFonts w:hint="default" w:ascii="Nimbus Roman No9 L" w:hAnsi="Nimbus Roman No9 L" w:eastAsia="仿宋_GB2312" w:cs="Nimbus Roman No9 L"/>
          <w:sz w:val="32"/>
          <w:szCs w:val="32"/>
          <w:lang w:eastAsia="zh-CN"/>
        </w:rPr>
        <w:t>市级天使母基金</w:t>
      </w:r>
      <w:r>
        <w:rPr>
          <w:rFonts w:hint="default" w:ascii="Nimbus Roman No9 L" w:hAnsi="Nimbus Roman No9 L" w:eastAsia="仿宋_GB2312" w:cs="Nimbus Roman No9 L"/>
          <w:sz w:val="32"/>
          <w:szCs w:val="32"/>
        </w:rPr>
        <w:t>市场化参股和市场化跟投的投资决策机制，组建投资决策委员会，对</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天使母基金投资、管理、退出等重大事项进行决策。</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（四）承担</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天使母基金的投资、管理、退出等日常投资管理工作，每年末对</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天使母基金实施绩效自评，自评结果报市科技局、市财政局。</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（五）每季度后45日内向市科技局、市财政局报告天使母基金季度运作情况，及时报告</w:t>
      </w:r>
      <w:r>
        <w:rPr>
          <w:rFonts w:hint="default" w:ascii="Nimbus Roman No9 L" w:hAnsi="Nimbus Roman No9 L" w:eastAsia="仿宋_GB2312" w:cs="Nimbus Roman No9 L"/>
          <w:sz w:val="32"/>
          <w:szCs w:val="32"/>
          <w:lang w:eastAsia="zh-CN"/>
        </w:rPr>
        <w:t>市级天使母基金参股</w:t>
      </w:r>
      <w:r>
        <w:rPr>
          <w:rFonts w:hint="default" w:ascii="Nimbus Roman No9 L" w:hAnsi="Nimbus Roman No9 L" w:eastAsia="仿宋_GB2312" w:cs="Nimbus Roman No9 L"/>
          <w:sz w:val="32"/>
          <w:szCs w:val="32"/>
        </w:rPr>
        <w:t>子基金法律文件变更、资本增减、违法违规事件、管理机构变动、清算与解散等重大事项。</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（六）对</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天使母基金及其子基金所涉及的相关内容负有保密责任。</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（七）市科技局、市财政局委托的其他相关工作。</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eastAsia="zh-CN"/>
        </w:rPr>
        <w:t>七</w:t>
      </w:r>
      <w:r>
        <w:rPr>
          <w:rFonts w:hint="default" w:ascii="Nimbus Roman No9 L" w:hAnsi="Nimbus Roman No9 L" w:eastAsia="黑体" w:cs="Nimbus Roman No9 L"/>
          <w:sz w:val="32"/>
          <w:szCs w:val="32"/>
        </w:rPr>
        <w:t xml:space="preserve">条 </w:t>
      </w:r>
      <w:r>
        <w:rPr>
          <w:rFonts w:hint="default" w:ascii="Nimbus Roman No9 L" w:hAnsi="Nimbus Roman No9 L" w:eastAsia="仿宋_GB2312" w:cs="Nimbus Roman No9 L"/>
          <w:sz w:val="32"/>
          <w:szCs w:val="32"/>
        </w:rPr>
        <w:t>市级天使母基金每年初按截止上年末对子基金实缴出资和市场化跟投总额的1%向</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支付基础管理费，并根据上年度绩效考核结果对</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给予适当奖励和扣罚管理费。</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天使母基金运行经费在管理费列支。</w:t>
      </w:r>
    </w:p>
    <w:p>
      <w:pPr>
        <w:spacing w:line="560" w:lineRule="exact"/>
        <w:ind w:left="643"/>
        <w:rPr>
          <w:rFonts w:hint="default" w:ascii="Nimbus Roman No9 L" w:hAnsi="Nimbus Roman No9 L" w:eastAsia="仿宋_GB2312" w:cs="Nimbus Roman No9 L"/>
          <w:sz w:val="32"/>
          <w:szCs w:val="32"/>
        </w:rPr>
      </w:pPr>
    </w:p>
    <w:p>
      <w:pPr>
        <w:pStyle w:val="10"/>
        <w:spacing w:line="560" w:lineRule="exact"/>
        <w:ind w:firstLine="0" w:firstLineChars="0"/>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 xml:space="preserve">第三章  </w:t>
      </w:r>
      <w:r>
        <w:rPr>
          <w:rFonts w:hint="default" w:ascii="Nimbus Roman No9 L" w:hAnsi="Nimbus Roman No9 L" w:eastAsia="黑体" w:cs="Nimbus Roman No9 L"/>
          <w:sz w:val="32"/>
          <w:szCs w:val="32"/>
          <w:lang w:eastAsia="zh-CN"/>
        </w:rPr>
        <w:t>市级天使母基金参股</w:t>
      </w:r>
      <w:r>
        <w:rPr>
          <w:rFonts w:hint="default" w:ascii="Nimbus Roman No9 L" w:hAnsi="Nimbus Roman No9 L" w:eastAsia="黑体" w:cs="Nimbus Roman No9 L"/>
          <w:sz w:val="32"/>
          <w:szCs w:val="32"/>
        </w:rPr>
        <w:t>子基金设立</w:t>
      </w:r>
    </w:p>
    <w:p>
      <w:pPr>
        <w:spacing w:line="560" w:lineRule="exact"/>
        <w:ind w:firstLine="640" w:firstLineChars="200"/>
        <w:rPr>
          <w:rFonts w:hint="default" w:ascii="Nimbus Roman No9 L" w:hAnsi="Nimbus Roman No9 L" w:eastAsia="黑体" w:cs="Nimbus Roman No9 L"/>
          <w:sz w:val="32"/>
          <w:szCs w:val="32"/>
        </w:rPr>
      </w:pP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eastAsia="zh-CN"/>
        </w:rPr>
        <w:t>八</w:t>
      </w:r>
      <w:r>
        <w:rPr>
          <w:rFonts w:hint="default" w:ascii="Nimbus Roman No9 L" w:hAnsi="Nimbus Roman No9 L" w:eastAsia="黑体" w:cs="Nimbus Roman No9 L"/>
          <w:sz w:val="32"/>
          <w:szCs w:val="32"/>
        </w:rPr>
        <w:t xml:space="preserve">条 </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天使母基金对单支子基金出资规模原则上不超过3亿元人民币；注册在天津市的子基金，市级天使</w:t>
      </w:r>
      <w:r>
        <w:rPr>
          <w:rFonts w:hint="default" w:ascii="Nimbus Roman No9 L" w:hAnsi="Nimbus Roman No9 L" w:eastAsia="仿宋_GB2312" w:cs="Nimbus Roman No9 L"/>
          <w:sz w:val="32"/>
          <w:szCs w:val="32"/>
          <w:lang w:eastAsia="zh-CN"/>
        </w:rPr>
        <w:t>母</w:t>
      </w:r>
      <w:r>
        <w:rPr>
          <w:rFonts w:hint="default" w:ascii="Nimbus Roman No9 L" w:hAnsi="Nimbus Roman No9 L" w:eastAsia="仿宋_GB2312" w:cs="Nimbus Roman No9 L"/>
          <w:sz w:val="32"/>
          <w:szCs w:val="32"/>
        </w:rPr>
        <w:t>基金的出资比例原则上不超过子基金认缴出资总额的40%；注册在天津市以外的子基金，市级天使</w:t>
      </w:r>
      <w:r>
        <w:rPr>
          <w:rFonts w:hint="default" w:ascii="Nimbus Roman No9 L" w:hAnsi="Nimbus Roman No9 L" w:eastAsia="仿宋_GB2312" w:cs="Nimbus Roman No9 L"/>
          <w:sz w:val="32"/>
          <w:szCs w:val="32"/>
          <w:lang w:eastAsia="zh-CN"/>
        </w:rPr>
        <w:t>母</w:t>
      </w:r>
      <w:r>
        <w:rPr>
          <w:rFonts w:hint="default" w:ascii="Nimbus Roman No9 L" w:hAnsi="Nimbus Roman No9 L" w:eastAsia="仿宋_GB2312" w:cs="Nimbus Roman No9 L"/>
          <w:sz w:val="32"/>
          <w:szCs w:val="32"/>
        </w:rPr>
        <w:t>基金的出资比例原则上不超过子基金认缴出资总额的</w:t>
      </w:r>
      <w:r>
        <w:rPr>
          <w:rFonts w:hint="eastAsia"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0%。</w:t>
      </w:r>
    </w:p>
    <w:p>
      <w:pPr>
        <w:pStyle w:val="2"/>
        <w:rPr>
          <w:rFonts w:hint="default" w:ascii="Nimbus Roman No9 L" w:hAnsi="Nimbus Roman No9 L" w:cs="Nimbus Roman No9 L"/>
        </w:rPr>
      </w:pPr>
      <w:r>
        <w:rPr>
          <w:rFonts w:hint="default" w:ascii="Nimbus Roman No9 L" w:hAnsi="Nimbus Roman No9 L" w:eastAsia="仿宋_GB2312" w:cs="Nimbus Roman No9 L"/>
          <w:b w:val="0"/>
          <w:bCs w:val="0"/>
          <w:snapToGrid w:val="0"/>
          <w:color w:val="auto"/>
          <w:kern w:val="0"/>
          <w:sz w:val="32"/>
          <w:szCs w:val="32"/>
          <w:highlight w:val="none"/>
          <w:shd w:val="clear" w:color="auto" w:fill="auto"/>
          <w:lang w:eastAsia="zh-CN"/>
        </w:rPr>
        <w:t>向市级天使母基金中出资的区域，市级天使母基金按照</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 w:eastAsia="zh-CN"/>
        </w:rPr>
        <w:t>该</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eastAsia="zh-CN"/>
        </w:rPr>
        <w:t>区域出资额的</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1.</w:t>
      </w:r>
      <w:r>
        <w:rPr>
          <w:rFonts w:hint="eastAsia" w:ascii="Nimbus Roman No9 L" w:hAnsi="Nimbus Roman No9 L" w:eastAsia="仿宋_GB2312" w:cs="Nimbus Roman No9 L"/>
          <w:b w:val="0"/>
          <w:bCs w:val="0"/>
          <w:snapToGrid w:val="0"/>
          <w:color w:val="auto"/>
          <w:kern w:val="0"/>
          <w:sz w:val="32"/>
          <w:szCs w:val="32"/>
          <w:highlight w:val="none"/>
          <w:shd w:val="clear" w:color="auto" w:fill="auto"/>
          <w:lang w:val="en-US" w:eastAsia="zh-CN"/>
        </w:rPr>
        <w:t>4</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倍，支持该区域推荐</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 w:eastAsia="zh-CN"/>
        </w:rPr>
        <w:t>的</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子基金管理机构设立</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 w:eastAsia="zh-CN"/>
        </w:rPr>
        <w:t>主要</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面向</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 w:eastAsia="zh-CN"/>
        </w:rPr>
        <w:t>该</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区域的子基金；</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鼓励区域投资平台共同支持大学、科研院所、大学科技园、海河实验室、产业技术研究院等创新型研发机构设立子基金，市级天使母基金可先行出资支持此类子基金投资重点项目</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eastAsia="zh-CN"/>
        </w:rPr>
        <w:t>九</w:t>
      </w:r>
      <w:r>
        <w:rPr>
          <w:rFonts w:hint="default" w:ascii="Nimbus Roman No9 L" w:hAnsi="Nimbus Roman No9 L" w:eastAsia="黑体" w:cs="Nimbus Roman No9 L"/>
          <w:sz w:val="32"/>
          <w:szCs w:val="32"/>
        </w:rPr>
        <w:t xml:space="preserve">条 </w:t>
      </w:r>
      <w:r>
        <w:rPr>
          <w:rFonts w:hint="default" w:ascii="Nimbus Roman No9 L" w:hAnsi="Nimbus Roman No9 L" w:eastAsia="仿宋_GB2312" w:cs="Nimbus Roman No9 L"/>
          <w:sz w:val="32"/>
          <w:szCs w:val="32"/>
        </w:rPr>
        <w:t>子基金应满足以下条件：</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（一）子基金组织形式为公司制或有限合伙制。支持方式为参与发起设立和增资设立，其中天使母基金增资的，申报时子基金在中国证券投资基金业协会备案时间不超过12个月。</w:t>
      </w:r>
    </w:p>
    <w:p>
      <w:pPr>
        <w:spacing w:line="560" w:lineRule="exact"/>
        <w:ind w:firstLine="640" w:firstLineChars="200"/>
        <w:rPr>
          <w:rFonts w:hint="eastAsia"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（二）子基金认缴出资总额原则上不低于3000万元人民币</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大学、科研院所、大学科技园、海河实验室、产业技术研究院</w:t>
      </w:r>
      <w:r>
        <w:rPr>
          <w:rFonts w:hint="eastAsia" w:ascii="Nimbus Roman No9 L" w:hAnsi="Nimbus Roman No9 L" w:eastAsia="仿宋_GB2312" w:cs="Nimbus Roman No9 L"/>
          <w:sz w:val="32"/>
          <w:szCs w:val="32"/>
          <w:lang w:eastAsia="zh-CN"/>
        </w:rPr>
        <w:t>、科技企业孵化器</w:t>
      </w:r>
      <w:r>
        <w:rPr>
          <w:rFonts w:hint="default" w:ascii="Nimbus Roman No9 L" w:hAnsi="Nimbus Roman No9 L" w:eastAsia="仿宋_GB2312" w:cs="Nimbus Roman No9 L"/>
          <w:sz w:val="32"/>
          <w:szCs w:val="32"/>
        </w:rPr>
        <w:t>等机构</w:t>
      </w:r>
      <w:r>
        <w:rPr>
          <w:rFonts w:hint="eastAsia" w:ascii="Nimbus Roman No9 L" w:hAnsi="Nimbus Roman No9 L" w:eastAsia="仿宋_GB2312" w:cs="Nimbus Roman No9 L"/>
          <w:sz w:val="32"/>
          <w:szCs w:val="32"/>
          <w:lang w:eastAsia="zh-CN"/>
        </w:rPr>
        <w:t>设立的子基金可适当降低</w:t>
      </w:r>
      <w:r>
        <w:rPr>
          <w:rFonts w:hint="default" w:ascii="Nimbus Roman No9 L" w:hAnsi="Nimbus Roman No9 L" w:eastAsia="仿宋_GB2312" w:cs="Nimbus Roman No9 L"/>
          <w:sz w:val="32"/>
          <w:szCs w:val="32"/>
        </w:rPr>
        <w:t>认缴出资总额</w:t>
      </w:r>
      <w:r>
        <w:rPr>
          <w:rFonts w:hint="eastAsia" w:ascii="Nimbus Roman No9 L" w:hAnsi="Nimbus Roman No9 L" w:eastAsia="仿宋_GB2312" w:cs="Nimbus Roman No9 L"/>
          <w:sz w:val="32"/>
          <w:szCs w:val="32"/>
          <w:lang w:eastAsia="zh-CN"/>
        </w:rPr>
        <w:t>。</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（三）子基金出资方式为货币出资，</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w:t>
      </w:r>
      <w:r>
        <w:rPr>
          <w:rFonts w:hint="default" w:ascii="Nimbus Roman No9 L" w:hAnsi="Nimbus Roman No9 L" w:eastAsia="仿宋_GB2312" w:cs="Nimbus Roman No9 L"/>
          <w:sz w:val="32"/>
          <w:szCs w:val="32"/>
          <w:lang w:eastAsia="zh-CN"/>
        </w:rPr>
        <w:t>不先于</w:t>
      </w:r>
      <w:r>
        <w:rPr>
          <w:rFonts w:hint="default" w:ascii="Nimbus Roman No9 L" w:hAnsi="Nimbus Roman No9 L" w:eastAsia="仿宋_GB2312" w:cs="Nimbus Roman No9 L"/>
          <w:sz w:val="32"/>
          <w:szCs w:val="32"/>
        </w:rPr>
        <w:t>其他出资人出资。</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（四）子基金对单个企业的累计投资额不超过子基金认缴出资总额的20%。</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（五）子基金存续期</w:t>
      </w:r>
      <w:r>
        <w:rPr>
          <w:rFonts w:hint="default" w:ascii="Nimbus Roman No9 L" w:hAnsi="Nimbus Roman No9 L" w:eastAsia="仿宋_GB2312" w:cs="Nimbus Roman No9 L"/>
          <w:sz w:val="32"/>
          <w:szCs w:val="32"/>
          <w:lang w:val="en"/>
        </w:rPr>
        <w:t>一般</w:t>
      </w:r>
      <w:r>
        <w:rPr>
          <w:rFonts w:hint="default" w:ascii="Nimbus Roman No9 L" w:hAnsi="Nimbus Roman No9 L" w:eastAsia="仿宋_GB2312" w:cs="Nimbus Roman No9 L"/>
          <w:sz w:val="32"/>
          <w:szCs w:val="32"/>
        </w:rPr>
        <w:t>不超过10年，其中投资期不超过5年。经全体投资人协商一致，存续期最多可延长2年，存续期的延长期内不再向子基金管理机构支付管理费。</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（六）子基金主要投资于新一代信息技术、生物医药、新能源、新材料、高端装备、节能环保、航空航天等高新技术产业和战略性新兴产业。</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第十条 </w:t>
      </w:r>
      <w:r>
        <w:rPr>
          <w:rFonts w:hint="default" w:ascii="Nimbus Roman No9 L" w:hAnsi="Nimbus Roman No9 L" w:eastAsia="仿宋_GB2312" w:cs="Nimbus Roman No9 L"/>
          <w:sz w:val="32"/>
          <w:szCs w:val="32"/>
        </w:rPr>
        <w:t>子基金管理机构应满足以下条件：</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（一）在中国大陆注册，在</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w:t>
      </w:r>
      <w:r>
        <w:rPr>
          <w:rFonts w:hint="default" w:ascii="Nimbus Roman No9 L" w:hAnsi="Nimbus Roman No9 L" w:eastAsia="仿宋_GB2312" w:cs="Nimbus Roman No9 L"/>
          <w:sz w:val="32"/>
          <w:szCs w:val="32"/>
          <w:lang w:val="en"/>
        </w:rPr>
        <w:t>出资</w:t>
      </w:r>
      <w:r>
        <w:rPr>
          <w:rFonts w:hint="default" w:ascii="Nimbus Roman No9 L" w:hAnsi="Nimbus Roman No9 L" w:eastAsia="仿宋_GB2312" w:cs="Nimbus Roman No9 L"/>
          <w:sz w:val="32"/>
          <w:szCs w:val="32"/>
        </w:rPr>
        <w:t>前，应在天津市设有固定办公场所。</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（二）注册资本不少于1000万元人民币，实缴出资不少于300万元人民币。</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（三）在</w:t>
      </w:r>
      <w:r>
        <w:rPr>
          <w:rFonts w:hint="default" w:ascii="Nimbus Roman No9 L" w:hAnsi="Nimbus Roman No9 L" w:eastAsia="仿宋_GB2312" w:cs="Nimbus Roman No9 L"/>
          <w:sz w:val="32"/>
          <w:szCs w:val="32"/>
          <w:lang w:eastAsia="zh-CN"/>
        </w:rPr>
        <w:t>中国证券基金业协会完成</w:t>
      </w:r>
      <w:r>
        <w:rPr>
          <w:rFonts w:hint="default" w:ascii="Nimbus Roman No9 L" w:hAnsi="Nimbus Roman No9 L" w:eastAsia="仿宋_GB2312" w:cs="Nimbus Roman No9 L"/>
          <w:sz w:val="32"/>
          <w:szCs w:val="32"/>
        </w:rPr>
        <w:t>私募股权投资基金管理人登记。</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（四）子基金管理机构或其关联方在子基金中认缴出资比例不少于1%。</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（五）拥有3名具备5年以上创业投资或相关业务经验的专职高级管理人员，并至少满足下列条件之一：</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子基金管理机构或其主要股东（公司制）、普通合伙人（合伙制）自有资金及管理的基金累计投资天使类项目（不含以发起人、雇员或主要股东亲属身份投资的天使类项目）资金规模不低于1亿元人民币（或等值货币），且至少拥有3个成功案例。</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2.子基金管理机构或其主要股东（公司制）、普通合伙人（合伙制）或3名以上管理团队主要成员以骨干身份，累计管理创业投资基金实缴规模不低于5亿元人民币（或等值货币），且至少拥有3个成功案例。</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3.大学、科研院所、大学科技园、海河实验室、产业技术研究院、区级</w:t>
      </w:r>
      <w:r>
        <w:rPr>
          <w:rFonts w:hint="default" w:ascii="Nimbus Roman No9 L" w:hAnsi="Nimbus Roman No9 L" w:eastAsia="仿宋_GB2312" w:cs="Nimbus Roman No9 L"/>
          <w:sz w:val="32"/>
          <w:szCs w:val="32"/>
          <w:lang w:val="en"/>
        </w:rPr>
        <w:t>天使母</w:t>
      </w:r>
      <w:r>
        <w:rPr>
          <w:rFonts w:hint="default" w:ascii="Nimbus Roman No9 L" w:hAnsi="Nimbus Roman No9 L" w:eastAsia="仿宋_GB2312" w:cs="Nimbus Roman No9 L"/>
          <w:sz w:val="32"/>
          <w:szCs w:val="32"/>
        </w:rPr>
        <w:t>基金选定的唯一管理机构。</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（六）具有完备的募、投、管、退相关管理制度，能够为所投资企业提供创业辅导、管理咨询等增值服务。</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w:t>
      </w:r>
      <w:r>
        <w:rPr>
          <w:rFonts w:hint="default" w:ascii="Nimbus Roman No9 L" w:hAnsi="Nimbus Roman No9 L" w:eastAsia="仿宋_GB2312" w:cs="Nimbus Roman No9 L"/>
          <w:sz w:val="32"/>
          <w:szCs w:val="32"/>
          <w:lang w:eastAsia="zh-CN"/>
        </w:rPr>
        <w:t>子基金</w:t>
      </w:r>
      <w:r>
        <w:rPr>
          <w:rFonts w:hint="default" w:ascii="Nimbus Roman No9 L" w:hAnsi="Nimbus Roman No9 L" w:eastAsia="仿宋_GB2312" w:cs="Nimbus Roman No9 L"/>
          <w:sz w:val="32"/>
          <w:szCs w:val="32"/>
        </w:rPr>
        <w:t>管理机构及其高级管理人员以及所申请子基金的专职管理人员无重大过失，无受行政主管机关或司法机关处罚的不良记录。</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w:t>
      </w:r>
      <w:r>
        <w:rPr>
          <w:rFonts w:hint="default" w:ascii="Nimbus Roman No9 L" w:hAnsi="Nimbus Roman No9 L" w:eastAsia="仿宋_GB2312" w:cs="Nimbus Roman No9 L"/>
          <w:sz w:val="32"/>
          <w:szCs w:val="32"/>
          <w:lang w:eastAsia="zh-CN"/>
        </w:rPr>
        <w:t>子基金</w:t>
      </w:r>
      <w:r>
        <w:rPr>
          <w:rFonts w:hint="default" w:ascii="Nimbus Roman No9 L" w:hAnsi="Nimbus Roman No9 L" w:eastAsia="仿宋_GB2312" w:cs="Nimbus Roman No9 L"/>
          <w:sz w:val="32"/>
          <w:szCs w:val="32"/>
        </w:rPr>
        <w:t>管理机构应向《私募投资基金监督管理暂行办法》等所规定的合格投资者募集资金。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第十一条 </w:t>
      </w:r>
      <w:r>
        <w:rPr>
          <w:rFonts w:hint="default" w:ascii="Nimbus Roman No9 L" w:hAnsi="Nimbus Roman No9 L" w:eastAsia="仿宋_GB2312" w:cs="Nimbus Roman No9 L"/>
          <w:sz w:val="32"/>
          <w:szCs w:val="32"/>
        </w:rPr>
        <w:t>申请人应为子基金管理机构，申请材料包括以下内容：</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（一）子基金设立或增资方案。</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（二）子基金所有出资人的出资承诺及出资能力证明（大学、科研院所、大学科技园、海河实验室、产业技术研究院、区级</w:t>
      </w:r>
      <w:r>
        <w:rPr>
          <w:rFonts w:hint="default" w:ascii="Nimbus Roman No9 L" w:hAnsi="Nimbus Roman No9 L" w:eastAsia="仿宋_GB2312" w:cs="Nimbus Roman No9 L"/>
          <w:sz w:val="32"/>
          <w:szCs w:val="32"/>
          <w:lang w:val="en"/>
        </w:rPr>
        <w:t>天使母基金</w:t>
      </w:r>
      <w:r>
        <w:rPr>
          <w:rFonts w:hint="default" w:ascii="Nimbus Roman No9 L" w:hAnsi="Nimbus Roman No9 L" w:eastAsia="仿宋_GB2312" w:cs="Nimbus Roman No9 L"/>
          <w:sz w:val="32"/>
          <w:szCs w:val="32"/>
        </w:rPr>
        <w:t>参与申报的子基金，还应提供相应的内部决策文件）。</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（三）能够证明子基金管理机构资格条件的凭证。</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认为应当提交的其他材料。</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第十二条 </w:t>
      </w:r>
      <w:r>
        <w:rPr>
          <w:rFonts w:hint="default" w:ascii="Nimbus Roman No9 L" w:hAnsi="Nimbus Roman No9 L" w:eastAsia="仿宋_GB2312" w:cs="Nimbus Roman No9 L"/>
          <w:sz w:val="32"/>
          <w:szCs w:val="32"/>
        </w:rPr>
        <w:t>工作流程：</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收到申请后，对申请材料进行形式审查。对于不符合要求的，及时通知申请人补充完善；对于符合要求的，及时组织开展尽职调查并形成尽职调查报告。</w:t>
      </w:r>
    </w:p>
    <w:p>
      <w:pPr>
        <w:pStyle w:val="10"/>
        <w:spacing w:line="560" w:lineRule="exact"/>
        <w:ind w:firstLine="640"/>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（二）完成尽职调查后，</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将子基金设立或增资方案、投资建议、尽职调查报告等相关资料提交投资决策委员会进行决策。必要时，</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可在投资决策前组织开展专家评审。</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（三）投资决策委员会决策后10日内，</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将决策结果面向社会进行公示，公示期5个工作日。</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（四）公示无异议或有异议但经调查异议不成立的，</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及时与子基金各出资方协商并办理子基金合伙协议或公司章程等各项法律文件的签署。</w:t>
      </w:r>
    </w:p>
    <w:p>
      <w:pPr>
        <w:pStyle w:val="10"/>
        <w:spacing w:line="560" w:lineRule="exact"/>
        <w:ind w:firstLine="640" w:firstLineChars="200"/>
        <w:rPr>
          <w:rFonts w:hint="default" w:ascii="Nimbus Roman No9 L" w:hAnsi="Nimbus Roman No9 L" w:eastAsia="仿宋_GB2312" w:cs="Nimbus Roman No9 L"/>
          <w:sz w:val="32"/>
          <w:szCs w:val="32"/>
        </w:rPr>
      </w:pPr>
    </w:p>
    <w:p>
      <w:pPr>
        <w:pStyle w:val="10"/>
        <w:spacing w:line="560" w:lineRule="exact"/>
        <w:ind w:firstLine="0" w:firstLineChars="0"/>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第四章  市级天使母基金投资管理</w:t>
      </w:r>
    </w:p>
    <w:p>
      <w:pPr>
        <w:spacing w:line="560" w:lineRule="exact"/>
        <w:ind w:firstLine="640" w:firstLineChars="200"/>
        <w:rPr>
          <w:rFonts w:hint="default" w:ascii="Nimbus Roman No9 L" w:hAnsi="Nimbus Roman No9 L" w:eastAsia="黑体" w:cs="Nimbus Roman No9 L"/>
          <w:sz w:val="32"/>
          <w:szCs w:val="32"/>
        </w:rPr>
      </w:pP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第十三条 </w:t>
      </w:r>
      <w:r>
        <w:rPr>
          <w:rFonts w:hint="eastAsia"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天使母基金按照子基金合伙协议或公司章程约定履行出资人职责，享有出资人权利。</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向子基金派出代表，依据本办法、子基金合伙协议或公司章程以及相关法律法规行使出资人职责，参与重大决策，监督子基金投资运作，不参与日常经营。对不符合本办法规定及子基金合伙协议或公司章程约定的议案，</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及派出代表拥有一票否决权。</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第十四条 </w:t>
      </w:r>
      <w:r>
        <w:rPr>
          <w:rFonts w:hint="default" w:ascii="Nimbus Roman No9 L" w:hAnsi="Nimbus Roman No9 L" w:eastAsia="仿宋_GB2312" w:cs="Nimbus Roman No9 L"/>
          <w:sz w:val="32"/>
          <w:szCs w:val="32"/>
        </w:rPr>
        <w:t>子基金管理机构按季度向</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报告子基金经营情况。</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可对子基金投资的企业进行实地调研。当</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发现子基金运营异常时，可指定会计师事务所对子基金进行专项审计。</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第十五条 </w:t>
      </w:r>
      <w:r>
        <w:rPr>
          <w:rFonts w:hint="default" w:ascii="Nimbus Roman No9 L" w:hAnsi="Nimbus Roman No9 L" w:eastAsia="仿宋_GB2312" w:cs="Nimbus Roman No9 L"/>
          <w:sz w:val="32"/>
          <w:szCs w:val="32"/>
        </w:rPr>
        <w:t>子基金返投应满足以下要求：</w:t>
      </w:r>
    </w:p>
    <w:p>
      <w:pPr>
        <w:pStyle w:val="2"/>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子基金对我市科技型企业的投资额度不低于天使母基金实缴出资额的1.75倍。其中，对我市和外地招商引资的天使类项目的投资额度不低于天使母基金实缴出资额的1.2倍（包含子基金对已投资的天使类项目的后续追加投资）。</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eastAsia="zh-CN"/>
        </w:rPr>
        <w:t>向市级天使母基金中出资的区域</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推荐设立的子基金，市级出资可作为区域要求返投的基数；</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科技型企业是指符合国家科技型中小企业、国家高新技术企业、天津市雏鹰和瞪羚企业、天津市科技领军企业和领军培育企业、天津市技术领先型企业、专精特新中小企业等认定标准或已取得相应资格的企业。</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天使类项目原则上须满足以下规定：一是子基金的投资须为其首两轮外部机构投资或子基金投资决策时企业设立时间不超过5年；二是从业人数不超过200人，上一年度资产总额或销售收入不超过3000万元人民币。</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第十六条 </w:t>
      </w:r>
      <w:r>
        <w:rPr>
          <w:rFonts w:hint="default" w:ascii="Nimbus Roman No9 L" w:hAnsi="Nimbus Roman No9 L" w:eastAsia="仿宋_GB2312" w:cs="Nimbus Roman No9 L"/>
          <w:sz w:val="32"/>
          <w:szCs w:val="32"/>
        </w:rPr>
        <w:t>子基金的返投额度按照如下原则予以认定：</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（一）在子基金投资期内，子基金投资的本市科技型企业，按实际投资额（实缴到位）计算。</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（二）子基金投资的天津以外的科技型企业注册地迁入天津，或被天津注册登记企业收购（限于控股型收购）的，按子基金对该企业投资金额的1.5倍计算。</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（三）子基金投资的在天津以外的科技型企业，通过设立子公司形式将主要生产研发基地落户天津的，按子基金对该企业投资金额的1.2倍且不高于子公司资产总额计算。</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0"/>
          <w:sz w:val="32"/>
          <w:szCs w:val="32"/>
        </w:rPr>
        <w:t>（四）子基金投资的外地科技型企业又投资</w:t>
      </w:r>
      <w:r>
        <w:rPr>
          <w:rFonts w:hint="default" w:ascii="Nimbus Roman No9 L" w:hAnsi="Nimbus Roman No9 L" w:eastAsia="仿宋_GB2312" w:cs="Nimbus Roman No9 L"/>
          <w:sz w:val="32"/>
          <w:szCs w:val="32"/>
        </w:rPr>
        <w:t>天津</w:t>
      </w:r>
      <w:r>
        <w:rPr>
          <w:rFonts w:hint="default" w:ascii="Nimbus Roman No9 L" w:hAnsi="Nimbus Roman No9 L" w:eastAsia="仿宋_GB2312" w:cs="Nimbus Roman No9 L"/>
          <w:kern w:val="0"/>
          <w:sz w:val="32"/>
          <w:szCs w:val="32"/>
        </w:rPr>
        <w:t>市企业的</w:t>
      </w:r>
      <w:r>
        <w:rPr>
          <w:rFonts w:hint="default" w:ascii="Nimbus Roman No9 L" w:hAnsi="Nimbus Roman No9 L" w:eastAsia="仿宋_GB2312" w:cs="Nimbus Roman No9 L"/>
          <w:sz w:val="32"/>
          <w:szCs w:val="32"/>
        </w:rPr>
        <w:t>，按</w:t>
      </w:r>
      <w:r>
        <w:rPr>
          <w:rFonts w:hint="default" w:ascii="Nimbus Roman No9 L" w:hAnsi="Nimbus Roman No9 L" w:eastAsia="仿宋_GB2312" w:cs="Nimbus Roman No9 L"/>
          <w:kern w:val="0"/>
          <w:sz w:val="32"/>
          <w:szCs w:val="32"/>
        </w:rPr>
        <w:t>子基金对该外地企业</w:t>
      </w:r>
      <w:r>
        <w:rPr>
          <w:rFonts w:hint="default" w:ascii="Nimbus Roman No9 L" w:hAnsi="Nimbus Roman No9 L" w:eastAsia="仿宋_GB2312" w:cs="Nimbus Roman No9 L"/>
          <w:sz w:val="32"/>
          <w:szCs w:val="32"/>
        </w:rPr>
        <w:t>实缴投资额且不超过其对天津市企业实缴投资额计算。</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（五）子基金管理机构或其控股股东（公司制）、普通合伙人（合伙制）管理的其他基金或自有资金投资的科技型企业注册地迁入天津市，并经注册地所在区（功能区）认可同意的，按</w:t>
      </w:r>
      <w:r>
        <w:rPr>
          <w:rFonts w:hint="default" w:ascii="Nimbus Roman No9 L" w:hAnsi="Nimbus Roman No9 L" w:eastAsia="仿宋_GB2312" w:cs="Nimbus Roman No9 L"/>
          <w:kern w:val="0"/>
          <w:sz w:val="32"/>
          <w:szCs w:val="32"/>
        </w:rPr>
        <w:t>对该企业</w:t>
      </w:r>
      <w:r>
        <w:rPr>
          <w:rFonts w:hint="default" w:ascii="Nimbus Roman No9 L" w:hAnsi="Nimbus Roman No9 L" w:eastAsia="仿宋_GB2312" w:cs="Nimbus Roman No9 L"/>
          <w:sz w:val="32"/>
          <w:szCs w:val="32"/>
        </w:rPr>
        <w:t>实缴投资额且不超过母基金对子基金的实缴出资额计算。</w:t>
      </w:r>
    </w:p>
    <w:p>
      <w:pPr>
        <w:pStyle w:val="2"/>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（六）</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eastAsia="zh-CN"/>
        </w:rPr>
        <w:t>向市级天使母基金中出资的区域，</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市级天使母基金参与设立的子基金向该区域投资或引进</w:t>
      </w:r>
      <w:r>
        <w:rPr>
          <w:rFonts w:hint="eastAsia" w:ascii="Nimbus Roman No9 L" w:hAnsi="Nimbus Roman No9 L" w:eastAsia="仿宋_GB2312" w:cs="Nimbus Roman No9 L"/>
          <w:b w:val="0"/>
          <w:bCs w:val="0"/>
          <w:snapToGrid w:val="0"/>
          <w:color w:val="auto"/>
          <w:kern w:val="0"/>
          <w:sz w:val="32"/>
          <w:szCs w:val="32"/>
          <w:highlight w:val="none"/>
          <w:shd w:val="clear" w:color="auto" w:fill="auto"/>
          <w:lang w:val="en-US" w:eastAsia="zh-CN"/>
        </w:rPr>
        <w:t>外省市</w:t>
      </w:r>
      <w:r>
        <w:rPr>
          <w:rFonts w:hint="default" w:ascii="Nimbus Roman No9 L" w:hAnsi="Nimbus Roman No9 L" w:eastAsia="仿宋_GB2312" w:cs="Nimbus Roman No9 L"/>
          <w:b w:val="0"/>
          <w:bCs w:val="0"/>
          <w:snapToGrid w:val="0"/>
          <w:color w:val="auto"/>
          <w:kern w:val="0"/>
          <w:sz w:val="32"/>
          <w:szCs w:val="32"/>
          <w:highlight w:val="none"/>
          <w:shd w:val="clear" w:color="auto" w:fill="auto"/>
          <w:lang w:val="en-US" w:eastAsia="zh-CN"/>
        </w:rPr>
        <w:t>项目，</w:t>
      </w:r>
      <w:r>
        <w:rPr>
          <w:rFonts w:hint="eastAsia" w:ascii="Nimbus Roman No9 L" w:hAnsi="Nimbus Roman No9 L" w:eastAsia="仿宋_GB2312" w:cs="Nimbus Roman No9 L"/>
          <w:sz w:val="32"/>
          <w:szCs w:val="32"/>
          <w:lang w:eastAsia="zh-CN"/>
        </w:rPr>
        <w:t>在现有返投认定标准基础上再提高</w:t>
      </w:r>
      <w:r>
        <w:rPr>
          <w:rFonts w:hint="eastAsia" w:ascii="Nimbus Roman No9 L" w:hAnsi="Nimbus Roman No9 L" w:eastAsia="仿宋_GB2312" w:cs="Nimbus Roman No9 L"/>
          <w:sz w:val="32"/>
          <w:szCs w:val="32"/>
          <w:lang w:val="en-US" w:eastAsia="zh-CN"/>
        </w:rPr>
        <w:t>20%的返投认定额度</w:t>
      </w:r>
      <w:r>
        <w:rPr>
          <w:rFonts w:hint="default" w:ascii="Nimbus Roman No9 L" w:hAnsi="Nimbus Roman No9 L" w:eastAsia="仿宋_GB2312" w:cs="Nimbus Roman No9 L"/>
          <w:sz w:val="32"/>
          <w:szCs w:val="32"/>
        </w:rPr>
        <w:t>。</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第十七条 </w:t>
      </w:r>
      <w:r>
        <w:rPr>
          <w:rFonts w:hint="default" w:ascii="Nimbus Roman No9 L" w:hAnsi="Nimbus Roman No9 L" w:eastAsia="仿宋_GB2312" w:cs="Nimbus Roman No9 L"/>
          <w:sz w:val="32"/>
          <w:szCs w:val="32"/>
        </w:rPr>
        <w:t>子基金不得从事以下业务：</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（一）担保、抵押、委托贷款等业务。</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（二）投资二级市场股票、期货、房地产、证券投资基金、企业债、信托产品、非保本型理财产品、保险计划及其他金融衍生品。</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（三）向任何第三方提供赞助、捐赠。</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（四）吸收或变相吸收存款，或向第三方提供贷款（可转债除外）和资金拆借。</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（五）进行承担无限连带责任的对外投资。</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（六）发行信托或集合理财产品募集资金。</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（七）其他国家法律法规禁止从事的业务。</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第十八条 </w:t>
      </w:r>
      <w:r>
        <w:rPr>
          <w:rFonts w:hint="default" w:ascii="Nimbus Roman No9 L" w:hAnsi="Nimbus Roman No9 L" w:eastAsia="仿宋_GB2312" w:cs="Nimbus Roman No9 L"/>
          <w:sz w:val="32"/>
          <w:szCs w:val="32"/>
        </w:rPr>
        <w:t>子基金应实行银行托管。托管银行应具备从事基金托管业务的资质，受子基金委托承担资金监管职责。</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第十九条 </w:t>
      </w:r>
      <w:r>
        <w:rPr>
          <w:rFonts w:hint="default" w:ascii="Nimbus Roman No9 L" w:hAnsi="Nimbus Roman No9 L" w:eastAsia="仿宋_GB2312" w:cs="Nimbus Roman No9 L"/>
          <w:sz w:val="32"/>
          <w:szCs w:val="32"/>
        </w:rPr>
        <w:t>子基金的实缴出资（实收资本）及收益应全部进入托管账户。托管银行应严格按照托管协议和子基金相关决策机构的决议办理银行支付手续。</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第二十条 </w:t>
      </w:r>
      <w:r>
        <w:rPr>
          <w:rFonts w:hint="default" w:ascii="Nimbus Roman No9 L" w:hAnsi="Nimbus Roman No9 L" w:eastAsia="仿宋_GB2312" w:cs="Nimbus Roman No9 L"/>
          <w:sz w:val="32"/>
          <w:szCs w:val="32"/>
        </w:rPr>
        <w:t>托管银行应按季度向</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提交子基金托管报告，主要内容为托管账户的全部收支情况及子基金管理机构提供的决策依据。当托管银行不能按托管协议履行托管职责时，</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有权要求子基金变更托管银行。</w:t>
      </w:r>
    </w:p>
    <w:p>
      <w:pPr>
        <w:pStyle w:val="10"/>
        <w:spacing w:line="560" w:lineRule="exact"/>
        <w:ind w:left="640" w:firstLine="0" w:firstLineChars="0"/>
        <w:rPr>
          <w:rFonts w:hint="default" w:ascii="Nimbus Roman No9 L" w:hAnsi="Nimbus Roman No9 L" w:eastAsia="仿宋_GB2312" w:cs="Nimbus Roman No9 L"/>
          <w:sz w:val="32"/>
          <w:szCs w:val="32"/>
        </w:rPr>
      </w:pPr>
    </w:p>
    <w:p>
      <w:pPr>
        <w:pStyle w:val="10"/>
        <w:spacing w:line="560" w:lineRule="exact"/>
        <w:ind w:firstLine="0" w:firstLineChars="0"/>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 xml:space="preserve">第五章  </w:t>
      </w:r>
      <w:r>
        <w:rPr>
          <w:rFonts w:hint="default" w:ascii="Nimbus Roman No9 L" w:hAnsi="Nimbus Roman No9 L" w:eastAsia="黑体" w:cs="Nimbus Roman No9 L"/>
          <w:sz w:val="32"/>
          <w:szCs w:val="32"/>
          <w:lang w:eastAsia="zh-CN"/>
        </w:rPr>
        <w:t>市级</w:t>
      </w:r>
      <w:r>
        <w:rPr>
          <w:rFonts w:hint="default" w:ascii="Nimbus Roman No9 L" w:hAnsi="Nimbus Roman No9 L" w:eastAsia="黑体" w:cs="Nimbus Roman No9 L"/>
          <w:sz w:val="32"/>
          <w:szCs w:val="32"/>
        </w:rPr>
        <w:t>天使母基金退出</w:t>
      </w:r>
    </w:p>
    <w:p>
      <w:pPr>
        <w:spacing w:line="560" w:lineRule="exact"/>
        <w:ind w:firstLine="640" w:firstLineChars="200"/>
        <w:rPr>
          <w:rFonts w:hint="default" w:ascii="Nimbus Roman No9 L" w:hAnsi="Nimbus Roman No9 L" w:eastAsia="黑体" w:cs="Nimbus Roman No9 L"/>
          <w:sz w:val="32"/>
          <w:szCs w:val="32"/>
        </w:rPr>
      </w:pP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第二十一条 </w:t>
      </w:r>
      <w:r>
        <w:rPr>
          <w:rFonts w:hint="default" w:ascii="Nimbus Roman No9 L" w:hAnsi="Nimbus Roman No9 L" w:eastAsia="仿宋_GB2312" w:cs="Nimbus Roman No9 L"/>
          <w:sz w:val="32"/>
          <w:szCs w:val="32"/>
        </w:rPr>
        <w:t>自公示结束之日起1年内，未完成子基金注册或增资变更登记手续的，子基金获得</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天使母基金投资的资格自动取消。</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第二十二条 </w:t>
      </w:r>
      <w:r>
        <w:rPr>
          <w:rFonts w:hint="default" w:ascii="Nimbus Roman No9 L" w:hAnsi="Nimbus Roman No9 L" w:eastAsia="仿宋_GB2312" w:cs="Nimbus Roman No9 L"/>
          <w:sz w:val="32"/>
          <w:szCs w:val="32"/>
        </w:rPr>
        <w:t>子基金合伙协议或公司章程中应明确，出现下列情况之一时，</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天使母基金可选择退出，且无需经由其他出资人同意：</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（一）子基金注册或完成增资变更登记手续超过一年，除</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天使母基金外的其他出资人未完成首期实缴出资的，或子基金在规定时间内未完成后续实缴出资的。</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天使母基金向子基金账户拨付资金后，子基金未开展投资超过一年的。</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（三）子基金未按照本办法规定及合伙协议或公司章程投资的。</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（四）子基金管理机构</w:t>
      </w:r>
      <w:r>
        <w:rPr>
          <w:rFonts w:hint="default" w:ascii="Nimbus Roman No9 L" w:hAnsi="Nimbus Roman No9 L" w:eastAsia="仿宋_GB2312" w:cs="Nimbus Roman No9 L"/>
          <w:snapToGrid w:val="0"/>
          <w:kern w:val="0"/>
          <w:sz w:val="32"/>
          <w:szCs w:val="32"/>
        </w:rPr>
        <w:t>的股东或普通合伙人发生实质性变化，对子基金投资运作产生</w:t>
      </w:r>
      <w:r>
        <w:rPr>
          <w:rFonts w:hint="default" w:ascii="Nimbus Roman No9 L" w:hAnsi="Nimbus Roman No9 L" w:eastAsia="仿宋_GB2312" w:cs="Nimbus Roman No9 L"/>
          <w:sz w:val="32"/>
          <w:szCs w:val="32"/>
        </w:rPr>
        <w:t>不利</w:t>
      </w:r>
      <w:r>
        <w:rPr>
          <w:rFonts w:hint="default" w:ascii="Nimbus Roman No9 L" w:hAnsi="Nimbus Roman No9 L" w:eastAsia="仿宋_GB2312" w:cs="Nimbus Roman No9 L"/>
          <w:snapToGrid w:val="0"/>
          <w:kern w:val="0"/>
          <w:sz w:val="32"/>
          <w:szCs w:val="32"/>
        </w:rPr>
        <w:t>影响的。</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第二十三条 </w:t>
      </w:r>
      <w:r>
        <w:rPr>
          <w:rFonts w:hint="default" w:ascii="Nimbus Roman No9 L" w:hAnsi="Nimbus Roman No9 L" w:eastAsia="仿宋_GB2312" w:cs="Nimbus Roman No9 L"/>
          <w:sz w:val="32"/>
          <w:szCs w:val="32"/>
        </w:rPr>
        <w:t>为更好发挥政府资金的引导作用，鼓励子基金投资于我市科技型企业，</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天使母基金设置以下奖励机制，子基金可选择任一方式（跟投子基金不享受奖励政策）：</w:t>
      </w:r>
    </w:p>
    <w:p>
      <w:pPr>
        <w:pStyle w:val="2"/>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（一）回购。子基金投资期结束后，满足本办法要求的子基金，其管理机构及其他出资人可以申请回购</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天使母基金持有的基金份额。</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（二）让利。</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在收回对子基金的实缴出资后，以其享有的子基金全部超额收益为上限，向满足本办法要求的子基金管理机构及其他出资人进行让利，但不得承诺子基金管理机构及其他出资人投资本金不受损失，不得承诺最低收益，国家另有规定的除外。</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子基金存续期结束仍未能完成清算又不选择回购的，</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天使母基金有权处置其持有的基金份额且不予奖励。</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第二十四条 </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天使母基金回购及让利方式：</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子基金采取项目</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即退即分</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和基金整体</w:t>
      </w:r>
      <w:r>
        <w:rPr>
          <w:rFonts w:hint="default" w:ascii="仿宋_GB2312" w:hAnsi="仿宋_GB2312" w:eastAsia="仿宋_GB2312" w:cs="仿宋_GB2312"/>
          <w:b w:val="0"/>
          <w:bCs w:val="0"/>
          <w:color w:val="auto"/>
          <w:sz w:val="32"/>
          <w:szCs w:val="32"/>
          <w:highlight w:val="none"/>
          <w:shd w:val="clear" w:color="auto" w:fill="auto"/>
          <w:lang w:val="en" w:eastAsia="zh-CN"/>
        </w:rPr>
        <w:t>“先</w:t>
      </w:r>
      <w:r>
        <w:rPr>
          <w:rFonts w:hint="default" w:ascii="Nimbus Roman No9 L" w:hAnsi="Nimbus Roman No9 L" w:eastAsia="仿宋_GB2312" w:cs="Nimbus Roman No9 L"/>
          <w:sz w:val="32"/>
          <w:szCs w:val="32"/>
        </w:rPr>
        <w:t>回本后分利</w:t>
      </w:r>
      <w:r>
        <w:rPr>
          <w:rFonts w:hint="default" w:ascii="仿宋_GB2312" w:hAnsi="仿宋_GB2312" w:eastAsia="仿宋_GB2312" w:cs="仿宋_GB2312"/>
          <w:b w:val="0"/>
          <w:bCs w:val="0"/>
          <w:color w:val="auto"/>
          <w:sz w:val="32"/>
          <w:szCs w:val="32"/>
          <w:highlight w:val="none"/>
          <w:shd w:val="clear" w:color="auto" w:fill="auto"/>
          <w:lang w:val="en" w:eastAsia="zh-CN"/>
        </w:rPr>
        <w:t>”</w:t>
      </w:r>
      <w:r>
        <w:rPr>
          <w:rFonts w:hint="default" w:ascii="Nimbus Roman No9 L" w:hAnsi="Nimbus Roman No9 L" w:eastAsia="仿宋_GB2312" w:cs="Nimbus Roman No9 L"/>
          <w:sz w:val="32"/>
          <w:szCs w:val="32"/>
        </w:rPr>
        <w:t>原则。</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回购方式：子基金投资期满后，若子基金满足本办法第十五条要求，子基金管理机构及其他社会出资人可申请回购天使母基金持有的基金份额。回购价格按照子基金合伙协议（或公司章程）约定计算，并不低于投资本金余额及按退出时中国人民银行公布的同期人民币存款基准利率×投资年限（高于2%时，按2%计算）计算的收益之和（其中，投资本金全部收回</w:t>
      </w:r>
      <w:r>
        <w:rPr>
          <w:rFonts w:hint="default" w:ascii="Nimbus Roman No9 L" w:hAnsi="Nimbus Roman No9 L" w:eastAsia="仿宋_GB2312" w:cs="Nimbus Roman No9 L"/>
          <w:sz w:val="32"/>
          <w:szCs w:val="32"/>
          <w:lang w:eastAsia="zh-CN"/>
        </w:rPr>
        <w:t>前未发生回购行为</w:t>
      </w:r>
      <w:r>
        <w:rPr>
          <w:rFonts w:hint="default" w:ascii="Nimbus Roman No9 L" w:hAnsi="Nimbus Roman No9 L" w:eastAsia="仿宋_GB2312" w:cs="Nimbus Roman No9 L"/>
          <w:sz w:val="32"/>
          <w:szCs w:val="32"/>
        </w:rPr>
        <w:t>的，</w:t>
      </w:r>
      <w:r>
        <w:rPr>
          <w:rFonts w:hint="default" w:ascii="Nimbus Roman No9 L" w:hAnsi="Nimbus Roman No9 L" w:eastAsia="仿宋_GB2312" w:cs="Nimbus Roman No9 L"/>
          <w:sz w:val="32"/>
          <w:szCs w:val="32"/>
          <w:lang w:eastAsia="zh-CN"/>
        </w:rPr>
        <w:t>在投资本金全部收回时，市级</w:t>
      </w:r>
      <w:r>
        <w:rPr>
          <w:rFonts w:hint="default" w:ascii="Nimbus Roman No9 L" w:hAnsi="Nimbus Roman No9 L" w:eastAsia="仿宋_GB2312" w:cs="Nimbus Roman No9 L"/>
          <w:sz w:val="32"/>
          <w:szCs w:val="32"/>
        </w:rPr>
        <w:t>天使母基金份额由其他出资人按出资比例无偿受让）。</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（二）让利方式：在各合伙人收回全部实缴出资后，若子基金满足本办法第十五条要求，</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天使母基金将投资于天津地区项目所得全部</w:t>
      </w:r>
      <w:r>
        <w:rPr>
          <w:rFonts w:hint="default" w:ascii="Nimbus Roman No9 L" w:hAnsi="Nimbus Roman No9 L" w:eastAsia="仿宋_GB2312" w:cs="Nimbus Roman No9 L"/>
          <w:sz w:val="32"/>
          <w:szCs w:val="32"/>
          <w:lang w:eastAsia="zh-CN"/>
        </w:rPr>
        <w:t>超额</w:t>
      </w:r>
      <w:r>
        <w:rPr>
          <w:rFonts w:hint="default" w:ascii="Nimbus Roman No9 L" w:hAnsi="Nimbus Roman No9 L" w:eastAsia="仿宋_GB2312" w:cs="Nimbus Roman No9 L"/>
          <w:sz w:val="32"/>
          <w:szCs w:val="32"/>
        </w:rPr>
        <w:t>收益让渡给子基金管理机构和其他出资人。</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 xml:space="preserve">第二十五条 </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天使母基金回购及让利审批程序：</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（一）申请。满足条件的子基金管理机构可向</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提出回购或让利申请。</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（二）审核。</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独立或委托第三方机构对子基金管理机构的回购或让利申请进行审核，并提出审核意见。</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（三）决策。完成申请审核后，</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将回购或让利申请和审核意见提交</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天使母基金投资决策委员会进行审核。</w:t>
      </w:r>
    </w:p>
    <w:p>
      <w:pPr>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（四）公示。</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在投资决策委员会履行决策程序后10日内对拟采取的子基金回购或让利方案进行社会公示，公示期为5个工作日。公示有异议的，启动相关调查程序。</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（五）执行。社会公示无异议或者有异议但经调查异议不成立的，</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天使母基金应当及时与子基金管理机构及全体出资人签署回购或让利的相关法律文件并执行让利，让渡的超额收益的分配方式由子基金管理机构和其他出资人自行约定。</w:t>
      </w:r>
    </w:p>
    <w:p>
      <w:pPr>
        <w:pStyle w:val="10"/>
        <w:spacing w:line="560" w:lineRule="exact"/>
        <w:ind w:left="640" w:firstLine="0" w:firstLineChars="0"/>
        <w:rPr>
          <w:rFonts w:hint="default" w:ascii="Nimbus Roman No9 L" w:hAnsi="Nimbus Roman No9 L" w:eastAsia="仿宋_GB2312" w:cs="Nimbus Roman No9 L"/>
          <w:sz w:val="32"/>
          <w:szCs w:val="32"/>
        </w:rPr>
      </w:pPr>
    </w:p>
    <w:p>
      <w:pPr>
        <w:pStyle w:val="10"/>
        <w:spacing w:line="560" w:lineRule="exact"/>
        <w:ind w:firstLine="0" w:firstLineChars="0"/>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第六章  工作监督</w:t>
      </w:r>
    </w:p>
    <w:p>
      <w:pPr>
        <w:spacing w:line="560" w:lineRule="exact"/>
        <w:ind w:firstLine="640" w:firstLineChars="200"/>
        <w:rPr>
          <w:rFonts w:hint="default" w:ascii="Nimbus Roman No9 L" w:hAnsi="Nimbus Roman No9 L" w:eastAsia="黑体" w:cs="Nimbus Roman No9 L"/>
          <w:sz w:val="32"/>
          <w:szCs w:val="32"/>
        </w:rPr>
      </w:pP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w:t>
      </w:r>
      <w:r>
        <w:rPr>
          <w:rFonts w:hint="default" w:ascii="Nimbus Roman No9 L" w:hAnsi="Nimbus Roman No9 L" w:eastAsia="黑体" w:cs="Nimbus Roman No9 L"/>
          <w:sz w:val="32"/>
          <w:szCs w:val="32"/>
          <w:lang w:val="en"/>
        </w:rPr>
        <w:t>六</w:t>
      </w:r>
      <w:r>
        <w:rPr>
          <w:rFonts w:hint="default" w:ascii="Nimbus Roman No9 L" w:hAnsi="Nimbus Roman No9 L" w:eastAsia="黑体" w:cs="Nimbus Roman No9 L"/>
          <w:sz w:val="32"/>
          <w:szCs w:val="32"/>
        </w:rPr>
        <w:t xml:space="preserve">条 </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不能有效履行职责、发生重大过失或违规行为等造成恶劣影响的，市科技局视情况给予约谈、批评、警告直至取消其受托管理资格的处理</w:t>
      </w:r>
      <w:r>
        <w:rPr>
          <w:rFonts w:hint="default" w:ascii="Nimbus Roman No9 L" w:hAnsi="Nimbus Roman No9 L" w:eastAsia="仿宋_GB2312" w:cs="Nimbus Roman No9 L"/>
          <w:sz w:val="32"/>
          <w:szCs w:val="32"/>
          <w:lang w:val="en"/>
        </w:rPr>
        <w:t>，</w:t>
      </w:r>
      <w:r>
        <w:rPr>
          <w:rFonts w:hint="eastAsia" w:ascii="Nimbus Roman No9 L" w:hAnsi="Nimbus Roman No9 L" w:eastAsia="仿宋_GB2312"/>
          <w:sz w:val="32"/>
          <w:szCs w:val="32"/>
        </w:rPr>
        <w:t>涉嫌犯罪的移送司法机关</w:t>
      </w:r>
      <w:r>
        <w:rPr>
          <w:rFonts w:hint="default" w:ascii="Nimbus Roman No9 L" w:hAnsi="Nimbus Roman No9 L" w:eastAsia="仿宋_GB2312" w:cs="Nimbus Roman No9 L"/>
          <w:sz w:val="32"/>
          <w:szCs w:val="32"/>
        </w:rPr>
        <w:t>。</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w:t>
      </w:r>
      <w:r>
        <w:rPr>
          <w:rFonts w:hint="default" w:ascii="Nimbus Roman No9 L" w:hAnsi="Nimbus Roman No9 L" w:eastAsia="黑体" w:cs="Nimbus Roman No9 L"/>
          <w:sz w:val="32"/>
          <w:szCs w:val="32"/>
          <w:lang w:val="en"/>
        </w:rPr>
        <w:t>七</w:t>
      </w:r>
      <w:r>
        <w:rPr>
          <w:rFonts w:hint="default" w:ascii="Nimbus Roman No9 L" w:hAnsi="Nimbus Roman No9 L" w:eastAsia="黑体" w:cs="Nimbus Roman No9 L"/>
          <w:sz w:val="32"/>
          <w:szCs w:val="32"/>
        </w:rPr>
        <w:t xml:space="preserve">条 </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天使母基金及子基金运行过程中涉及信息提供的单位，应当保证所提供信息的真实性，并对因虚假信息导致的后果承担责任。</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w:t>
      </w:r>
      <w:r>
        <w:rPr>
          <w:rFonts w:hint="default" w:ascii="Nimbus Roman No9 L" w:hAnsi="Nimbus Roman No9 L" w:eastAsia="黑体" w:cs="Nimbus Roman No9 L"/>
          <w:sz w:val="32"/>
          <w:szCs w:val="32"/>
          <w:lang w:val="en"/>
        </w:rPr>
        <w:t>八</w:t>
      </w:r>
      <w:r>
        <w:rPr>
          <w:rFonts w:hint="default" w:ascii="Nimbus Roman No9 L" w:hAnsi="Nimbus Roman No9 L" w:eastAsia="黑体" w:cs="Nimbus Roman No9 L"/>
          <w:sz w:val="32"/>
          <w:szCs w:val="32"/>
        </w:rPr>
        <w:t xml:space="preserve">条 </w:t>
      </w:r>
      <w:r>
        <w:rPr>
          <w:rFonts w:hint="default" w:ascii="Nimbus Roman No9 L" w:hAnsi="Nimbus Roman No9 L" w:eastAsia="仿宋_GB2312" w:cs="Nimbus Roman No9 L"/>
          <w:sz w:val="32"/>
          <w:szCs w:val="32"/>
        </w:rPr>
        <w:t>子基金管理机构和被投科技型企业不得编造虚假信息骗取</w:t>
      </w:r>
      <w:r>
        <w:rPr>
          <w:rFonts w:hint="default" w:ascii="Nimbus Roman No9 L" w:hAnsi="Nimbus Roman No9 L" w:eastAsia="仿宋_GB2312" w:cs="Nimbus Roman No9 L"/>
          <w:sz w:val="32"/>
          <w:szCs w:val="32"/>
          <w:lang w:eastAsia="zh-CN"/>
        </w:rPr>
        <w:t>市级</w:t>
      </w:r>
      <w:r>
        <w:rPr>
          <w:rFonts w:hint="default" w:ascii="Nimbus Roman No9 L" w:hAnsi="Nimbus Roman No9 L" w:eastAsia="仿宋_GB2312" w:cs="Nimbus Roman No9 L"/>
          <w:sz w:val="32"/>
          <w:szCs w:val="32"/>
        </w:rPr>
        <w:t>天使母基金支持，一经发现和查实，</w:t>
      </w:r>
      <w:r>
        <w:rPr>
          <w:rFonts w:hint="default" w:ascii="Nimbus Roman No9 L" w:hAnsi="Nimbus Roman No9 L" w:eastAsia="仿宋_GB2312" w:cs="Nimbus Roman No9 L"/>
          <w:sz w:val="32"/>
          <w:szCs w:val="32"/>
          <w:lang w:val="en"/>
        </w:rPr>
        <w:t>天使母基金管理公司</w:t>
      </w:r>
      <w:r>
        <w:rPr>
          <w:rFonts w:hint="default" w:ascii="Nimbus Roman No9 L" w:hAnsi="Nimbus Roman No9 L" w:eastAsia="仿宋_GB2312" w:cs="Nimbus Roman No9 L"/>
          <w:sz w:val="32"/>
          <w:szCs w:val="32"/>
        </w:rPr>
        <w:t>有权提前单方解除相关协议并追讨投资和补偿资金，</w:t>
      </w:r>
      <w:r>
        <w:rPr>
          <w:rFonts w:hint="eastAsia" w:ascii="Nimbus Roman No9 L" w:hAnsi="Nimbus Roman No9 L" w:eastAsia="仿宋_GB2312"/>
          <w:sz w:val="32"/>
          <w:szCs w:val="32"/>
        </w:rPr>
        <w:t>涉嫌犯罪的移送司法机关</w:t>
      </w:r>
      <w:r>
        <w:rPr>
          <w:rFonts w:hint="default" w:ascii="Nimbus Roman No9 L" w:hAnsi="Nimbus Roman No9 L" w:eastAsia="仿宋_GB2312" w:cs="Nimbus Roman No9 L"/>
          <w:sz w:val="32"/>
          <w:szCs w:val="32"/>
        </w:rPr>
        <w:t>。对于出现上述行为的，取消子基金管理机构申请子基金资格，被投科技型企业纳入科研失信行为记录。</w:t>
      </w:r>
    </w:p>
    <w:p>
      <w:pPr>
        <w:pStyle w:val="10"/>
        <w:spacing w:line="560" w:lineRule="exact"/>
        <w:ind w:firstLine="64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第二十</w:t>
      </w:r>
      <w:r>
        <w:rPr>
          <w:rFonts w:hint="default" w:ascii="Nimbus Roman No9 L" w:hAnsi="Nimbus Roman No9 L" w:eastAsia="黑体" w:cs="Nimbus Roman No9 L"/>
          <w:sz w:val="32"/>
          <w:szCs w:val="32"/>
          <w:lang w:val="en" w:eastAsia="zh-CN"/>
        </w:rPr>
        <w:t>九</w:t>
      </w:r>
      <w:r>
        <w:rPr>
          <w:rFonts w:hint="default" w:ascii="Nimbus Roman No9 L" w:hAnsi="Nimbus Roman No9 L" w:eastAsia="黑体" w:cs="Nimbus Roman No9 L"/>
          <w:sz w:val="32"/>
          <w:szCs w:val="32"/>
        </w:rPr>
        <w:t xml:space="preserve">条 </w:t>
      </w:r>
      <w:r>
        <w:rPr>
          <w:rFonts w:hint="eastAsia" w:ascii="仿宋_GB2312" w:hAnsi="仿宋_GB2312" w:eastAsia="仿宋_GB2312" w:cs="仿宋_GB2312"/>
          <w:sz w:val="32"/>
          <w:szCs w:val="32"/>
          <w:lang w:eastAsia="zh-CN"/>
        </w:rPr>
        <w:t>市级有关部门及市级天使母基金加强对区级天使母基金的指导，形成资本合力。区级天使母基金根据自身实际情况制定相关管理制度，纳入天津市天使母基金统计口径。</w:t>
      </w:r>
    </w:p>
    <w:p>
      <w:pPr>
        <w:spacing w:line="560" w:lineRule="exact"/>
        <w:rPr>
          <w:rFonts w:hint="default" w:ascii="Nimbus Roman No9 L" w:hAnsi="Nimbus Roman No9 L" w:eastAsia="仿宋_GB2312" w:cs="Nimbus Roman No9 L"/>
          <w:sz w:val="32"/>
          <w:szCs w:val="32"/>
        </w:rPr>
      </w:pPr>
    </w:p>
    <w:p>
      <w:pPr>
        <w:pStyle w:val="10"/>
        <w:spacing w:line="560" w:lineRule="exact"/>
        <w:ind w:firstLine="0" w:firstLineChars="0"/>
        <w:jc w:val="center"/>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第七章  附  则</w:t>
      </w:r>
    </w:p>
    <w:p>
      <w:pPr>
        <w:spacing w:line="560" w:lineRule="exact"/>
        <w:ind w:firstLine="640" w:firstLineChars="200"/>
        <w:rPr>
          <w:rFonts w:hint="default" w:ascii="Nimbus Roman No9 L" w:hAnsi="Nimbus Roman No9 L" w:eastAsia="黑体" w:cs="Nimbus Roman No9 L"/>
          <w:sz w:val="32"/>
          <w:szCs w:val="32"/>
        </w:rPr>
      </w:pPr>
    </w:p>
    <w:p>
      <w:pPr>
        <w:pStyle w:val="2"/>
        <w:rPr>
          <w:rFonts w:hint="default" w:ascii="Nimbus Roman No9 L" w:hAnsi="Nimbus Roman No9 L" w:cs="Nimbus Roman No9 L"/>
          <w:lang w:eastAsia="zh-CN"/>
        </w:rPr>
      </w:pPr>
      <w:r>
        <w:rPr>
          <w:rFonts w:hint="default" w:ascii="Nimbus Roman No9 L" w:hAnsi="Nimbus Roman No9 L" w:eastAsia="黑体" w:cs="Nimbus Roman No9 L"/>
          <w:sz w:val="32"/>
          <w:szCs w:val="32"/>
        </w:rPr>
        <w:t>第</w:t>
      </w:r>
      <w:r>
        <w:rPr>
          <w:rFonts w:hint="default" w:ascii="Nimbus Roman No9 L" w:hAnsi="Nimbus Roman No9 L" w:eastAsia="黑体" w:cs="Nimbus Roman No9 L"/>
          <w:sz w:val="32"/>
          <w:szCs w:val="32"/>
          <w:lang w:val="en"/>
        </w:rPr>
        <w:t>三十</w:t>
      </w:r>
      <w:r>
        <w:rPr>
          <w:rFonts w:hint="default" w:ascii="Nimbus Roman No9 L" w:hAnsi="Nimbus Roman No9 L" w:eastAsia="黑体" w:cs="Nimbus Roman No9 L"/>
          <w:sz w:val="32"/>
          <w:szCs w:val="32"/>
        </w:rPr>
        <w:t xml:space="preserve">条 </w:t>
      </w:r>
      <w:r>
        <w:rPr>
          <w:rFonts w:hint="default" w:ascii="Nimbus Roman No9 L" w:hAnsi="Nimbus Roman No9 L" w:eastAsia="仿宋_GB2312" w:cs="Nimbus Roman No9 L"/>
          <w:sz w:val="32"/>
          <w:szCs w:val="32"/>
        </w:rPr>
        <w:t>本办法自印发之日起施行，有效期至2025年12月31日。</w:t>
      </w:r>
    </w:p>
    <w:sectPr>
      <w:footerReference r:id="rId3" w:type="default"/>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No9 L">
    <w:altName w:val="Adobe 仿宋 Std R"/>
    <w:panose1 w:val="00000000000000000000"/>
    <w:charset w:val="00"/>
    <w:family w:val="auto"/>
    <w:pitch w:val="default"/>
    <w:sig w:usb0="00000000" w:usb1="00000000" w:usb2="00000000" w:usb3="00000000" w:csb0="00040001" w:csb1="00000000"/>
  </w:font>
  <w:font w:name="Adobe 仿宋 Std R">
    <w:panose1 w:val="02020400000000000000"/>
    <w:charset w:val="86"/>
    <w:family w:val="auto"/>
    <w:pitch w:val="default"/>
    <w:sig w:usb0="00000001" w:usb1="0A0F1810" w:usb2="00000016" w:usb3="00000000" w:csb0="00060007"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205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0lY7tAAAAAFAQAADwAA&#10;AAAAAAABACAAAAAiAAAAZHJzL2Rvd25yZXYueG1sUEsBAhQAFAAAAAgAh07iQJ1oCWTlAQAAygMA&#10;AA4AAAAAAAAAAQAgAAAAHwEAAGRycy9lMm9Eb2MueG1sUEsFBgAAAAAGAAYAWQEAAHY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31"/>
    <w:rsid w:val="0009708D"/>
    <w:rsid w:val="000972E2"/>
    <w:rsid w:val="00187801"/>
    <w:rsid w:val="001A32F4"/>
    <w:rsid w:val="002235B2"/>
    <w:rsid w:val="002E2EB8"/>
    <w:rsid w:val="003F03D6"/>
    <w:rsid w:val="006236BC"/>
    <w:rsid w:val="008A0F31"/>
    <w:rsid w:val="008B3723"/>
    <w:rsid w:val="00940605"/>
    <w:rsid w:val="00A13B9D"/>
    <w:rsid w:val="00A23C84"/>
    <w:rsid w:val="00A77985"/>
    <w:rsid w:val="00B5619C"/>
    <w:rsid w:val="00CD7FFE"/>
    <w:rsid w:val="00E428B6"/>
    <w:rsid w:val="00F01B5B"/>
    <w:rsid w:val="00F043CF"/>
    <w:rsid w:val="00F16217"/>
    <w:rsid w:val="00F9628E"/>
    <w:rsid w:val="0134085A"/>
    <w:rsid w:val="01351019"/>
    <w:rsid w:val="013A3284"/>
    <w:rsid w:val="024044A6"/>
    <w:rsid w:val="039134F4"/>
    <w:rsid w:val="03BB7BD4"/>
    <w:rsid w:val="04935B60"/>
    <w:rsid w:val="04DF46DB"/>
    <w:rsid w:val="04F43A1C"/>
    <w:rsid w:val="05AC7FB8"/>
    <w:rsid w:val="05FD0F2D"/>
    <w:rsid w:val="06721FAD"/>
    <w:rsid w:val="07404466"/>
    <w:rsid w:val="07594212"/>
    <w:rsid w:val="07BE0DFA"/>
    <w:rsid w:val="07D661C1"/>
    <w:rsid w:val="07E730AB"/>
    <w:rsid w:val="083835BC"/>
    <w:rsid w:val="08724985"/>
    <w:rsid w:val="08CB5D7A"/>
    <w:rsid w:val="095A783B"/>
    <w:rsid w:val="096A57DC"/>
    <w:rsid w:val="0A9E0C3B"/>
    <w:rsid w:val="0AAE49A7"/>
    <w:rsid w:val="0ABF4F3C"/>
    <w:rsid w:val="0BF36B63"/>
    <w:rsid w:val="0BFF1398"/>
    <w:rsid w:val="0C447732"/>
    <w:rsid w:val="0C8941DF"/>
    <w:rsid w:val="0CEA6851"/>
    <w:rsid w:val="0D8D0D42"/>
    <w:rsid w:val="0DFEB2DD"/>
    <w:rsid w:val="0E105143"/>
    <w:rsid w:val="0E777BD9"/>
    <w:rsid w:val="0E9D2631"/>
    <w:rsid w:val="0F4F0E85"/>
    <w:rsid w:val="0F7AA5EC"/>
    <w:rsid w:val="1078750E"/>
    <w:rsid w:val="10A666A4"/>
    <w:rsid w:val="10D13122"/>
    <w:rsid w:val="10F02F2B"/>
    <w:rsid w:val="11B0008F"/>
    <w:rsid w:val="11C1503B"/>
    <w:rsid w:val="11DA3DB4"/>
    <w:rsid w:val="11F342A1"/>
    <w:rsid w:val="128873A6"/>
    <w:rsid w:val="13244767"/>
    <w:rsid w:val="137249AC"/>
    <w:rsid w:val="1380132A"/>
    <w:rsid w:val="13806868"/>
    <w:rsid w:val="142DB816"/>
    <w:rsid w:val="1430314B"/>
    <w:rsid w:val="14830995"/>
    <w:rsid w:val="14AF5EB8"/>
    <w:rsid w:val="14C80C54"/>
    <w:rsid w:val="14CE4A28"/>
    <w:rsid w:val="15233461"/>
    <w:rsid w:val="155D48C5"/>
    <w:rsid w:val="15BC67BD"/>
    <w:rsid w:val="15CF45F1"/>
    <w:rsid w:val="15F1195D"/>
    <w:rsid w:val="15FFD97C"/>
    <w:rsid w:val="16E35F82"/>
    <w:rsid w:val="174C674A"/>
    <w:rsid w:val="17ED2DC5"/>
    <w:rsid w:val="17FB539A"/>
    <w:rsid w:val="18B70146"/>
    <w:rsid w:val="191C36AF"/>
    <w:rsid w:val="192C649F"/>
    <w:rsid w:val="196F3F2B"/>
    <w:rsid w:val="19AB28C3"/>
    <w:rsid w:val="19F72679"/>
    <w:rsid w:val="19FD4CED"/>
    <w:rsid w:val="1A8C079C"/>
    <w:rsid w:val="1A8E2257"/>
    <w:rsid w:val="1ADC4BA2"/>
    <w:rsid w:val="1B2F709E"/>
    <w:rsid w:val="1BFF7A4E"/>
    <w:rsid w:val="1C0312A0"/>
    <w:rsid w:val="1C0B09BF"/>
    <w:rsid w:val="1D010162"/>
    <w:rsid w:val="1D075F5B"/>
    <w:rsid w:val="1DB7E60A"/>
    <w:rsid w:val="1DFF0FD8"/>
    <w:rsid w:val="1DFF2C97"/>
    <w:rsid w:val="1E0E09C0"/>
    <w:rsid w:val="1E662F45"/>
    <w:rsid w:val="1E7F3205"/>
    <w:rsid w:val="1ECD6C50"/>
    <w:rsid w:val="1EE869FB"/>
    <w:rsid w:val="1F6FC6DE"/>
    <w:rsid w:val="1F71B46A"/>
    <w:rsid w:val="1FA7107D"/>
    <w:rsid w:val="1FC84D39"/>
    <w:rsid w:val="1FDF6E5F"/>
    <w:rsid w:val="1FF95795"/>
    <w:rsid w:val="1FFD89B6"/>
    <w:rsid w:val="1FFE75CC"/>
    <w:rsid w:val="1FFFFAB9"/>
    <w:rsid w:val="20C371D4"/>
    <w:rsid w:val="20F56346"/>
    <w:rsid w:val="212876A5"/>
    <w:rsid w:val="2168779D"/>
    <w:rsid w:val="216E551D"/>
    <w:rsid w:val="21DB6B61"/>
    <w:rsid w:val="226DFB9F"/>
    <w:rsid w:val="23916A32"/>
    <w:rsid w:val="23BE1384"/>
    <w:rsid w:val="23D2323F"/>
    <w:rsid w:val="243F4628"/>
    <w:rsid w:val="249701DD"/>
    <w:rsid w:val="24982041"/>
    <w:rsid w:val="24B238F2"/>
    <w:rsid w:val="24CB3D99"/>
    <w:rsid w:val="24CD24A4"/>
    <w:rsid w:val="25415112"/>
    <w:rsid w:val="258B5074"/>
    <w:rsid w:val="25D5114E"/>
    <w:rsid w:val="25DB86B8"/>
    <w:rsid w:val="261A6F45"/>
    <w:rsid w:val="261B3200"/>
    <w:rsid w:val="264F4B66"/>
    <w:rsid w:val="265D05ED"/>
    <w:rsid w:val="26D73DED"/>
    <w:rsid w:val="26EB200C"/>
    <w:rsid w:val="26FE1348"/>
    <w:rsid w:val="275573E4"/>
    <w:rsid w:val="27FBBC76"/>
    <w:rsid w:val="28871E0B"/>
    <w:rsid w:val="288774C1"/>
    <w:rsid w:val="293C4C62"/>
    <w:rsid w:val="29A45C8B"/>
    <w:rsid w:val="29BC5361"/>
    <w:rsid w:val="29C91C42"/>
    <w:rsid w:val="29FD6AF0"/>
    <w:rsid w:val="2A2010EA"/>
    <w:rsid w:val="2A4F0D64"/>
    <w:rsid w:val="2A9E3F08"/>
    <w:rsid w:val="2AB66F6D"/>
    <w:rsid w:val="2AB7D1B0"/>
    <w:rsid w:val="2B0275AA"/>
    <w:rsid w:val="2B3123C1"/>
    <w:rsid w:val="2BFACF97"/>
    <w:rsid w:val="2C4414FE"/>
    <w:rsid w:val="2C8E4B72"/>
    <w:rsid w:val="2C922B37"/>
    <w:rsid w:val="2C9A3C96"/>
    <w:rsid w:val="2CDC3481"/>
    <w:rsid w:val="2CE65ED8"/>
    <w:rsid w:val="2CF3FB96"/>
    <w:rsid w:val="2D0004B6"/>
    <w:rsid w:val="2D3B2DDF"/>
    <w:rsid w:val="2D465A8A"/>
    <w:rsid w:val="2D537914"/>
    <w:rsid w:val="2D614FA6"/>
    <w:rsid w:val="2D622F10"/>
    <w:rsid w:val="2DFE651F"/>
    <w:rsid w:val="2E2B5ABE"/>
    <w:rsid w:val="2E561A51"/>
    <w:rsid w:val="2E671E94"/>
    <w:rsid w:val="2E7A18AD"/>
    <w:rsid w:val="2EDE6DDF"/>
    <w:rsid w:val="2F2B0710"/>
    <w:rsid w:val="2F452243"/>
    <w:rsid w:val="2F4B3BEC"/>
    <w:rsid w:val="2FF75DEF"/>
    <w:rsid w:val="2FF980B6"/>
    <w:rsid w:val="2FFE29D5"/>
    <w:rsid w:val="2FFFCBD7"/>
    <w:rsid w:val="3065177D"/>
    <w:rsid w:val="30AE2E94"/>
    <w:rsid w:val="30F924CE"/>
    <w:rsid w:val="322042D6"/>
    <w:rsid w:val="324D6A1D"/>
    <w:rsid w:val="325338B5"/>
    <w:rsid w:val="325E713F"/>
    <w:rsid w:val="32B7D7BF"/>
    <w:rsid w:val="33204E40"/>
    <w:rsid w:val="33256376"/>
    <w:rsid w:val="335517C6"/>
    <w:rsid w:val="33A208C8"/>
    <w:rsid w:val="33A5022C"/>
    <w:rsid w:val="33BF6939"/>
    <w:rsid w:val="33F2B537"/>
    <w:rsid w:val="3485191F"/>
    <w:rsid w:val="352A56F0"/>
    <w:rsid w:val="35870CB4"/>
    <w:rsid w:val="35EF2A54"/>
    <w:rsid w:val="35F55B2C"/>
    <w:rsid w:val="35FA28AF"/>
    <w:rsid w:val="36185114"/>
    <w:rsid w:val="364516BA"/>
    <w:rsid w:val="36E05CFF"/>
    <w:rsid w:val="36EED196"/>
    <w:rsid w:val="36FAFBA8"/>
    <w:rsid w:val="37061E82"/>
    <w:rsid w:val="375567E5"/>
    <w:rsid w:val="37775AE7"/>
    <w:rsid w:val="37836518"/>
    <w:rsid w:val="379B803D"/>
    <w:rsid w:val="37B35AD4"/>
    <w:rsid w:val="37E75CD2"/>
    <w:rsid w:val="381265C7"/>
    <w:rsid w:val="38630D08"/>
    <w:rsid w:val="386712C7"/>
    <w:rsid w:val="38734220"/>
    <w:rsid w:val="389C708F"/>
    <w:rsid w:val="38C84371"/>
    <w:rsid w:val="39ED2A24"/>
    <w:rsid w:val="39FDD054"/>
    <w:rsid w:val="39FFAE10"/>
    <w:rsid w:val="3A4D0AE0"/>
    <w:rsid w:val="3A971BA0"/>
    <w:rsid w:val="3AB878AB"/>
    <w:rsid w:val="3AE514A1"/>
    <w:rsid w:val="3B3BC8C7"/>
    <w:rsid w:val="3B410333"/>
    <w:rsid w:val="3B7B517E"/>
    <w:rsid w:val="3BA78272"/>
    <w:rsid w:val="3BBF3A12"/>
    <w:rsid w:val="3BEDEF11"/>
    <w:rsid w:val="3BF01DB6"/>
    <w:rsid w:val="3BF90E7A"/>
    <w:rsid w:val="3BFD64A3"/>
    <w:rsid w:val="3C5F1BE0"/>
    <w:rsid w:val="3C635834"/>
    <w:rsid w:val="3C7A9CFC"/>
    <w:rsid w:val="3C8A7DAB"/>
    <w:rsid w:val="3C994CD9"/>
    <w:rsid w:val="3CB14C53"/>
    <w:rsid w:val="3CED2F08"/>
    <w:rsid w:val="3D2C0436"/>
    <w:rsid w:val="3D671D62"/>
    <w:rsid w:val="3D7D2D08"/>
    <w:rsid w:val="3D8F1F2F"/>
    <w:rsid w:val="3D9D5091"/>
    <w:rsid w:val="3DADEC79"/>
    <w:rsid w:val="3DBA68A2"/>
    <w:rsid w:val="3DBD2850"/>
    <w:rsid w:val="3DC58162"/>
    <w:rsid w:val="3DFF5398"/>
    <w:rsid w:val="3DFF608D"/>
    <w:rsid w:val="3E2740BB"/>
    <w:rsid w:val="3E2E2F2F"/>
    <w:rsid w:val="3E377F92"/>
    <w:rsid w:val="3E3C3B7A"/>
    <w:rsid w:val="3E5E364A"/>
    <w:rsid w:val="3E7465B2"/>
    <w:rsid w:val="3EE3E7CD"/>
    <w:rsid w:val="3EE74518"/>
    <w:rsid w:val="3EEF2C58"/>
    <w:rsid w:val="3EFFF0F5"/>
    <w:rsid w:val="3F1063BB"/>
    <w:rsid w:val="3F1F9FDF"/>
    <w:rsid w:val="3F263E9E"/>
    <w:rsid w:val="3F477E0D"/>
    <w:rsid w:val="3F55892B"/>
    <w:rsid w:val="3F5754FB"/>
    <w:rsid w:val="3F5E7B73"/>
    <w:rsid w:val="3F6C3F3B"/>
    <w:rsid w:val="3F7D6370"/>
    <w:rsid w:val="3F7E51C7"/>
    <w:rsid w:val="3FA72C93"/>
    <w:rsid w:val="3FAA6448"/>
    <w:rsid w:val="3FBE5D23"/>
    <w:rsid w:val="3FDB274B"/>
    <w:rsid w:val="3FEC329D"/>
    <w:rsid w:val="3FEEE124"/>
    <w:rsid w:val="3FEF0D9B"/>
    <w:rsid w:val="3FF122C7"/>
    <w:rsid w:val="3FFA9E69"/>
    <w:rsid w:val="3FFE985D"/>
    <w:rsid w:val="3FFEC58F"/>
    <w:rsid w:val="3FFF1423"/>
    <w:rsid w:val="3FFF9C37"/>
    <w:rsid w:val="401158A7"/>
    <w:rsid w:val="40BE036C"/>
    <w:rsid w:val="40C32600"/>
    <w:rsid w:val="41377555"/>
    <w:rsid w:val="414213AF"/>
    <w:rsid w:val="414A5BFC"/>
    <w:rsid w:val="414E08B2"/>
    <w:rsid w:val="42EB6285"/>
    <w:rsid w:val="42F41056"/>
    <w:rsid w:val="430B178F"/>
    <w:rsid w:val="44107175"/>
    <w:rsid w:val="442A1803"/>
    <w:rsid w:val="445B2440"/>
    <w:rsid w:val="44793A1E"/>
    <w:rsid w:val="45810A36"/>
    <w:rsid w:val="45985FF3"/>
    <w:rsid w:val="45A043A3"/>
    <w:rsid w:val="45C4624B"/>
    <w:rsid w:val="45DE41F2"/>
    <w:rsid w:val="45F50347"/>
    <w:rsid w:val="46A414F1"/>
    <w:rsid w:val="46D4571A"/>
    <w:rsid w:val="471019F4"/>
    <w:rsid w:val="47421736"/>
    <w:rsid w:val="47730630"/>
    <w:rsid w:val="47C725AE"/>
    <w:rsid w:val="489F7FD3"/>
    <w:rsid w:val="48A30776"/>
    <w:rsid w:val="491C5FC2"/>
    <w:rsid w:val="49C104CA"/>
    <w:rsid w:val="4A07282C"/>
    <w:rsid w:val="4A16733F"/>
    <w:rsid w:val="4ABE2F93"/>
    <w:rsid w:val="4AC443F1"/>
    <w:rsid w:val="4AEF54A5"/>
    <w:rsid w:val="4AEF9D41"/>
    <w:rsid w:val="4AFA8AA3"/>
    <w:rsid w:val="4C2D2F16"/>
    <w:rsid w:val="4C4E3D50"/>
    <w:rsid w:val="4CA0155E"/>
    <w:rsid w:val="4D00478F"/>
    <w:rsid w:val="4D19771C"/>
    <w:rsid w:val="4D5A76FE"/>
    <w:rsid w:val="4DA2739E"/>
    <w:rsid w:val="4DF6BEF6"/>
    <w:rsid w:val="4E0535E1"/>
    <w:rsid w:val="4E384F79"/>
    <w:rsid w:val="4E610892"/>
    <w:rsid w:val="4E67400D"/>
    <w:rsid w:val="4E9F5D69"/>
    <w:rsid w:val="4EC33B30"/>
    <w:rsid w:val="4EF7ED4C"/>
    <w:rsid w:val="4FAFA004"/>
    <w:rsid w:val="4FB909A4"/>
    <w:rsid w:val="4FCBA335"/>
    <w:rsid w:val="4FE80B1D"/>
    <w:rsid w:val="4FF049AB"/>
    <w:rsid w:val="4FFFDC48"/>
    <w:rsid w:val="5017295B"/>
    <w:rsid w:val="504C3938"/>
    <w:rsid w:val="50B117FA"/>
    <w:rsid w:val="5125675E"/>
    <w:rsid w:val="51315E37"/>
    <w:rsid w:val="5167322F"/>
    <w:rsid w:val="51846127"/>
    <w:rsid w:val="518E35E7"/>
    <w:rsid w:val="518E7712"/>
    <w:rsid w:val="51BB7BDB"/>
    <w:rsid w:val="51E94480"/>
    <w:rsid w:val="51FED7AB"/>
    <w:rsid w:val="52316EE9"/>
    <w:rsid w:val="52AF5389"/>
    <w:rsid w:val="52DF96BD"/>
    <w:rsid w:val="52EB0777"/>
    <w:rsid w:val="534814C8"/>
    <w:rsid w:val="53BC4E2F"/>
    <w:rsid w:val="542F5D82"/>
    <w:rsid w:val="54C2648B"/>
    <w:rsid w:val="559F6157"/>
    <w:rsid w:val="55DD34E2"/>
    <w:rsid w:val="55FF998D"/>
    <w:rsid w:val="56207582"/>
    <w:rsid w:val="56487B86"/>
    <w:rsid w:val="56BBAE15"/>
    <w:rsid w:val="56D34813"/>
    <w:rsid w:val="56F96B63"/>
    <w:rsid w:val="5767C8E4"/>
    <w:rsid w:val="577F466C"/>
    <w:rsid w:val="57D066C5"/>
    <w:rsid w:val="57F17E23"/>
    <w:rsid w:val="57F9CBC7"/>
    <w:rsid w:val="57FE0921"/>
    <w:rsid w:val="57FE3E74"/>
    <w:rsid w:val="57FEF241"/>
    <w:rsid w:val="58162A16"/>
    <w:rsid w:val="58556FE5"/>
    <w:rsid w:val="595047C2"/>
    <w:rsid w:val="596EE8D0"/>
    <w:rsid w:val="597B6CDF"/>
    <w:rsid w:val="59BE4AAC"/>
    <w:rsid w:val="59DD05D9"/>
    <w:rsid w:val="59EA5EC6"/>
    <w:rsid w:val="59F60166"/>
    <w:rsid w:val="5A0D665C"/>
    <w:rsid w:val="5A5C6FD1"/>
    <w:rsid w:val="5AFBA5FC"/>
    <w:rsid w:val="5AFFDC2A"/>
    <w:rsid w:val="5BBFE8D1"/>
    <w:rsid w:val="5BC5C24A"/>
    <w:rsid w:val="5BD462C2"/>
    <w:rsid w:val="5CC85459"/>
    <w:rsid w:val="5CCD3892"/>
    <w:rsid w:val="5CDC67E6"/>
    <w:rsid w:val="5CFB9C01"/>
    <w:rsid w:val="5CFD2F58"/>
    <w:rsid w:val="5D456ADB"/>
    <w:rsid w:val="5D7640E9"/>
    <w:rsid w:val="5D7EA438"/>
    <w:rsid w:val="5D7F8BCB"/>
    <w:rsid w:val="5DA458FB"/>
    <w:rsid w:val="5DB75170"/>
    <w:rsid w:val="5DBB7E2A"/>
    <w:rsid w:val="5DCD2E2A"/>
    <w:rsid w:val="5DD6EC41"/>
    <w:rsid w:val="5DD812B7"/>
    <w:rsid w:val="5DDFF000"/>
    <w:rsid w:val="5E1FD319"/>
    <w:rsid w:val="5E69587D"/>
    <w:rsid w:val="5EB75F1E"/>
    <w:rsid w:val="5EFA7CCD"/>
    <w:rsid w:val="5EFF5149"/>
    <w:rsid w:val="5F1D5BB6"/>
    <w:rsid w:val="5F3B96F5"/>
    <w:rsid w:val="5F432073"/>
    <w:rsid w:val="5F4A9D3D"/>
    <w:rsid w:val="5F577FC8"/>
    <w:rsid w:val="5F5B11F2"/>
    <w:rsid w:val="5F9431F2"/>
    <w:rsid w:val="5FAFF4D9"/>
    <w:rsid w:val="5FB328B9"/>
    <w:rsid w:val="5FB7C097"/>
    <w:rsid w:val="5FBF2BC0"/>
    <w:rsid w:val="5FDA8CAE"/>
    <w:rsid w:val="5FDF9EA8"/>
    <w:rsid w:val="5FEE53C7"/>
    <w:rsid w:val="5FF3B94F"/>
    <w:rsid w:val="5FF7CADB"/>
    <w:rsid w:val="5FFA89F3"/>
    <w:rsid w:val="5FFBCA20"/>
    <w:rsid w:val="5FFCF90E"/>
    <w:rsid w:val="5FFE736E"/>
    <w:rsid w:val="5FFE866C"/>
    <w:rsid w:val="5FFF5F99"/>
    <w:rsid w:val="5FFF7F49"/>
    <w:rsid w:val="5FFF94E3"/>
    <w:rsid w:val="602B4523"/>
    <w:rsid w:val="6078047B"/>
    <w:rsid w:val="60CC5628"/>
    <w:rsid w:val="60FF6365"/>
    <w:rsid w:val="61862EF9"/>
    <w:rsid w:val="61B34DF5"/>
    <w:rsid w:val="61E7EF69"/>
    <w:rsid w:val="623265CE"/>
    <w:rsid w:val="62492AC6"/>
    <w:rsid w:val="624F0B92"/>
    <w:rsid w:val="62D61FB1"/>
    <w:rsid w:val="62FC4CC2"/>
    <w:rsid w:val="631E5912"/>
    <w:rsid w:val="63282545"/>
    <w:rsid w:val="632B492E"/>
    <w:rsid w:val="637C7EFF"/>
    <w:rsid w:val="638E12A9"/>
    <w:rsid w:val="63BFD95A"/>
    <w:rsid w:val="63F318DD"/>
    <w:rsid w:val="63F6A7C4"/>
    <w:rsid w:val="64240E9A"/>
    <w:rsid w:val="64377B79"/>
    <w:rsid w:val="64624071"/>
    <w:rsid w:val="6468552F"/>
    <w:rsid w:val="649D1051"/>
    <w:rsid w:val="64AB201F"/>
    <w:rsid w:val="64B72EBB"/>
    <w:rsid w:val="64E05D66"/>
    <w:rsid w:val="64FE853C"/>
    <w:rsid w:val="656F7DBB"/>
    <w:rsid w:val="65D476DD"/>
    <w:rsid w:val="65EE7574"/>
    <w:rsid w:val="66253713"/>
    <w:rsid w:val="66440EA9"/>
    <w:rsid w:val="66D26168"/>
    <w:rsid w:val="66DF00AE"/>
    <w:rsid w:val="66F78BFF"/>
    <w:rsid w:val="671623D3"/>
    <w:rsid w:val="677839AE"/>
    <w:rsid w:val="677FC794"/>
    <w:rsid w:val="67FF4276"/>
    <w:rsid w:val="67FF46CB"/>
    <w:rsid w:val="67FF7FFB"/>
    <w:rsid w:val="690618AB"/>
    <w:rsid w:val="69777D52"/>
    <w:rsid w:val="69A145DD"/>
    <w:rsid w:val="69CDEF6C"/>
    <w:rsid w:val="69F7A01C"/>
    <w:rsid w:val="6A0F070C"/>
    <w:rsid w:val="6A206A16"/>
    <w:rsid w:val="6A7B6786"/>
    <w:rsid w:val="6A8D54BB"/>
    <w:rsid w:val="6ADC63F6"/>
    <w:rsid w:val="6AEC116B"/>
    <w:rsid w:val="6AFC687F"/>
    <w:rsid w:val="6B1B7E02"/>
    <w:rsid w:val="6B3EFDC5"/>
    <w:rsid w:val="6B75251F"/>
    <w:rsid w:val="6B785A39"/>
    <w:rsid w:val="6B7A53F2"/>
    <w:rsid w:val="6B7C703D"/>
    <w:rsid w:val="6B7E4ED6"/>
    <w:rsid w:val="6B8B5873"/>
    <w:rsid w:val="6B952786"/>
    <w:rsid w:val="6BBD5A81"/>
    <w:rsid w:val="6BDD591A"/>
    <w:rsid w:val="6BF7AF10"/>
    <w:rsid w:val="6C150E2A"/>
    <w:rsid w:val="6C5F75AC"/>
    <w:rsid w:val="6CFF520C"/>
    <w:rsid w:val="6D34749E"/>
    <w:rsid w:val="6D5158C8"/>
    <w:rsid w:val="6D6155DD"/>
    <w:rsid w:val="6D7C09EE"/>
    <w:rsid w:val="6D7E2837"/>
    <w:rsid w:val="6DC05CCC"/>
    <w:rsid w:val="6DEFEECB"/>
    <w:rsid w:val="6DFF229E"/>
    <w:rsid w:val="6EA82B51"/>
    <w:rsid w:val="6EEB6CEF"/>
    <w:rsid w:val="6EFA6C9F"/>
    <w:rsid w:val="6EFF3F60"/>
    <w:rsid w:val="6F352AC7"/>
    <w:rsid w:val="6F7DD269"/>
    <w:rsid w:val="6FA75339"/>
    <w:rsid w:val="6FA7B71B"/>
    <w:rsid w:val="6FBB27F8"/>
    <w:rsid w:val="6FBF5D9D"/>
    <w:rsid w:val="6FEA2D3F"/>
    <w:rsid w:val="6FEC7A43"/>
    <w:rsid w:val="6FEE4D5B"/>
    <w:rsid w:val="6FF7BE32"/>
    <w:rsid w:val="6FFE2304"/>
    <w:rsid w:val="6FFE7C57"/>
    <w:rsid w:val="6FFF438D"/>
    <w:rsid w:val="70F585A1"/>
    <w:rsid w:val="71517721"/>
    <w:rsid w:val="71766B11"/>
    <w:rsid w:val="719E83C1"/>
    <w:rsid w:val="71CF8309"/>
    <w:rsid w:val="71D512C7"/>
    <w:rsid w:val="72BB0A40"/>
    <w:rsid w:val="72DF4473"/>
    <w:rsid w:val="72EE4E2A"/>
    <w:rsid w:val="73675B0F"/>
    <w:rsid w:val="73726506"/>
    <w:rsid w:val="73BF584B"/>
    <w:rsid w:val="73BF6B48"/>
    <w:rsid w:val="73D7F0A5"/>
    <w:rsid w:val="73FC008A"/>
    <w:rsid w:val="73FF6D1D"/>
    <w:rsid w:val="745A6B63"/>
    <w:rsid w:val="74728178"/>
    <w:rsid w:val="74EF2C5C"/>
    <w:rsid w:val="74F49EB4"/>
    <w:rsid w:val="74FBBB43"/>
    <w:rsid w:val="753B2EEC"/>
    <w:rsid w:val="757DE146"/>
    <w:rsid w:val="759D7C22"/>
    <w:rsid w:val="75BB19AB"/>
    <w:rsid w:val="75BFBD49"/>
    <w:rsid w:val="75ED5D32"/>
    <w:rsid w:val="75F71329"/>
    <w:rsid w:val="75FDA3E0"/>
    <w:rsid w:val="7637E7F2"/>
    <w:rsid w:val="76520114"/>
    <w:rsid w:val="765B1734"/>
    <w:rsid w:val="76AF9D07"/>
    <w:rsid w:val="76C06FAA"/>
    <w:rsid w:val="76EC3514"/>
    <w:rsid w:val="76EF3129"/>
    <w:rsid w:val="76F341B7"/>
    <w:rsid w:val="76FEF4AC"/>
    <w:rsid w:val="770B4E6B"/>
    <w:rsid w:val="774CC34B"/>
    <w:rsid w:val="774F0A1D"/>
    <w:rsid w:val="775715B2"/>
    <w:rsid w:val="775E2C1F"/>
    <w:rsid w:val="775FE61C"/>
    <w:rsid w:val="776D46AA"/>
    <w:rsid w:val="777F0AB1"/>
    <w:rsid w:val="777F92AC"/>
    <w:rsid w:val="778F0861"/>
    <w:rsid w:val="77BB2E68"/>
    <w:rsid w:val="77CDB37E"/>
    <w:rsid w:val="77D882BD"/>
    <w:rsid w:val="77DB2B10"/>
    <w:rsid w:val="77E85902"/>
    <w:rsid w:val="77EBBF62"/>
    <w:rsid w:val="77EF2370"/>
    <w:rsid w:val="77EF4517"/>
    <w:rsid w:val="77EF49AD"/>
    <w:rsid w:val="77EFB8AE"/>
    <w:rsid w:val="77EFD42D"/>
    <w:rsid w:val="77F5F39E"/>
    <w:rsid w:val="77F614AF"/>
    <w:rsid w:val="77F74095"/>
    <w:rsid w:val="77F77C96"/>
    <w:rsid w:val="77F7C667"/>
    <w:rsid w:val="77F95117"/>
    <w:rsid w:val="77FFFE90"/>
    <w:rsid w:val="788A4D55"/>
    <w:rsid w:val="78FE481A"/>
    <w:rsid w:val="78FF7C39"/>
    <w:rsid w:val="7904528A"/>
    <w:rsid w:val="79153645"/>
    <w:rsid w:val="793D512B"/>
    <w:rsid w:val="79530AE2"/>
    <w:rsid w:val="79D01927"/>
    <w:rsid w:val="79D768CA"/>
    <w:rsid w:val="79DFCD1A"/>
    <w:rsid w:val="79EE53C5"/>
    <w:rsid w:val="79FA2A99"/>
    <w:rsid w:val="79FFDA7D"/>
    <w:rsid w:val="7A1A1359"/>
    <w:rsid w:val="7A423720"/>
    <w:rsid w:val="7A4F6674"/>
    <w:rsid w:val="7A6B7266"/>
    <w:rsid w:val="7A7F61A1"/>
    <w:rsid w:val="7A8968CF"/>
    <w:rsid w:val="7A9936E1"/>
    <w:rsid w:val="7AAC4099"/>
    <w:rsid w:val="7ADC9DAE"/>
    <w:rsid w:val="7AE7106B"/>
    <w:rsid w:val="7AEF7E5B"/>
    <w:rsid w:val="7AFE275B"/>
    <w:rsid w:val="7AFF2BCF"/>
    <w:rsid w:val="7B2338DD"/>
    <w:rsid w:val="7B3C5F01"/>
    <w:rsid w:val="7B47B392"/>
    <w:rsid w:val="7B5E0FCE"/>
    <w:rsid w:val="7B6779AB"/>
    <w:rsid w:val="7B6DD93F"/>
    <w:rsid w:val="7B75837F"/>
    <w:rsid w:val="7B775A7A"/>
    <w:rsid w:val="7B7C4BCB"/>
    <w:rsid w:val="7B7D1AF8"/>
    <w:rsid w:val="7B7F1526"/>
    <w:rsid w:val="7B7FB8B3"/>
    <w:rsid w:val="7BBE73CD"/>
    <w:rsid w:val="7BD5D35C"/>
    <w:rsid w:val="7BDDE390"/>
    <w:rsid w:val="7BDFE731"/>
    <w:rsid w:val="7BE2DFAE"/>
    <w:rsid w:val="7BEF3105"/>
    <w:rsid w:val="7BEFB5F6"/>
    <w:rsid w:val="7BF7A3D3"/>
    <w:rsid w:val="7BF9F33F"/>
    <w:rsid w:val="7BFDFD26"/>
    <w:rsid w:val="7BFE243C"/>
    <w:rsid w:val="7C0E6836"/>
    <w:rsid w:val="7C355D28"/>
    <w:rsid w:val="7C5FC22B"/>
    <w:rsid w:val="7C6F1C7A"/>
    <w:rsid w:val="7CA3E458"/>
    <w:rsid w:val="7CA914D6"/>
    <w:rsid w:val="7CAC6551"/>
    <w:rsid w:val="7CC836AC"/>
    <w:rsid w:val="7CEF60D2"/>
    <w:rsid w:val="7CFE30EC"/>
    <w:rsid w:val="7D0F5F49"/>
    <w:rsid w:val="7D1157AD"/>
    <w:rsid w:val="7D16B4ED"/>
    <w:rsid w:val="7D256498"/>
    <w:rsid w:val="7D2FBE9C"/>
    <w:rsid w:val="7D2FCE3C"/>
    <w:rsid w:val="7D65EC4E"/>
    <w:rsid w:val="7DAAA5DC"/>
    <w:rsid w:val="7DB70A14"/>
    <w:rsid w:val="7DBF0BA7"/>
    <w:rsid w:val="7DBF1A34"/>
    <w:rsid w:val="7DD970BE"/>
    <w:rsid w:val="7DDE6E47"/>
    <w:rsid w:val="7DDEB3D7"/>
    <w:rsid w:val="7DE2F912"/>
    <w:rsid w:val="7DE6251E"/>
    <w:rsid w:val="7DED7624"/>
    <w:rsid w:val="7DEF979F"/>
    <w:rsid w:val="7DF73089"/>
    <w:rsid w:val="7DFB2D0E"/>
    <w:rsid w:val="7DFECFE0"/>
    <w:rsid w:val="7DFF6A19"/>
    <w:rsid w:val="7E557C15"/>
    <w:rsid w:val="7E5FFE1D"/>
    <w:rsid w:val="7E7FC59B"/>
    <w:rsid w:val="7E7FD1A8"/>
    <w:rsid w:val="7E8F1919"/>
    <w:rsid w:val="7EA6A823"/>
    <w:rsid w:val="7EA88ECF"/>
    <w:rsid w:val="7EBDC3E5"/>
    <w:rsid w:val="7EC62597"/>
    <w:rsid w:val="7EDDF31C"/>
    <w:rsid w:val="7EF65B82"/>
    <w:rsid w:val="7EF727E6"/>
    <w:rsid w:val="7EF73651"/>
    <w:rsid w:val="7EFAF087"/>
    <w:rsid w:val="7EFCFD05"/>
    <w:rsid w:val="7EFF0F7E"/>
    <w:rsid w:val="7EFFA978"/>
    <w:rsid w:val="7F0D50B3"/>
    <w:rsid w:val="7F29792F"/>
    <w:rsid w:val="7F3467A9"/>
    <w:rsid w:val="7F376666"/>
    <w:rsid w:val="7F37703B"/>
    <w:rsid w:val="7F39479E"/>
    <w:rsid w:val="7F4A1DE9"/>
    <w:rsid w:val="7F605EE0"/>
    <w:rsid w:val="7F75B7B4"/>
    <w:rsid w:val="7F771D0A"/>
    <w:rsid w:val="7F77393E"/>
    <w:rsid w:val="7F7B656F"/>
    <w:rsid w:val="7F7D3E52"/>
    <w:rsid w:val="7F7D58EC"/>
    <w:rsid w:val="7F8C4A0D"/>
    <w:rsid w:val="7F8E1F2B"/>
    <w:rsid w:val="7F9BE0C6"/>
    <w:rsid w:val="7F9D43FD"/>
    <w:rsid w:val="7FA364A6"/>
    <w:rsid w:val="7FB47454"/>
    <w:rsid w:val="7FB75895"/>
    <w:rsid w:val="7FB79AC5"/>
    <w:rsid w:val="7FB7A347"/>
    <w:rsid w:val="7FBEF66B"/>
    <w:rsid w:val="7FBF82CD"/>
    <w:rsid w:val="7FBFA09A"/>
    <w:rsid w:val="7FC9047D"/>
    <w:rsid w:val="7FD5E5EA"/>
    <w:rsid w:val="7FD6C759"/>
    <w:rsid w:val="7FD9662B"/>
    <w:rsid w:val="7FDB08DF"/>
    <w:rsid w:val="7FDB6205"/>
    <w:rsid w:val="7FDBF44D"/>
    <w:rsid w:val="7FDBF9DC"/>
    <w:rsid w:val="7FDD76F1"/>
    <w:rsid w:val="7FE2B5F6"/>
    <w:rsid w:val="7FE65B69"/>
    <w:rsid w:val="7FEA54F8"/>
    <w:rsid w:val="7FEB57BA"/>
    <w:rsid w:val="7FEBD223"/>
    <w:rsid w:val="7FEF47A1"/>
    <w:rsid w:val="7FEFD346"/>
    <w:rsid w:val="7FEFDA72"/>
    <w:rsid w:val="7FF10D66"/>
    <w:rsid w:val="7FF587E4"/>
    <w:rsid w:val="7FF626D3"/>
    <w:rsid w:val="7FF7FFFF"/>
    <w:rsid w:val="7FF8AC8E"/>
    <w:rsid w:val="7FF9A011"/>
    <w:rsid w:val="7FFB1B18"/>
    <w:rsid w:val="7FFB3157"/>
    <w:rsid w:val="7FFB3996"/>
    <w:rsid w:val="7FFB6162"/>
    <w:rsid w:val="7FFB6852"/>
    <w:rsid w:val="7FFB81A5"/>
    <w:rsid w:val="7FFBB615"/>
    <w:rsid w:val="7FFBB969"/>
    <w:rsid w:val="7FFF015C"/>
    <w:rsid w:val="7FFF2682"/>
    <w:rsid w:val="7FFF33BC"/>
    <w:rsid w:val="7FFF4D09"/>
    <w:rsid w:val="7FFF615D"/>
    <w:rsid w:val="7FFF7200"/>
    <w:rsid w:val="7FFF839B"/>
    <w:rsid w:val="7FFFD173"/>
    <w:rsid w:val="7FFFD33A"/>
    <w:rsid w:val="7FFFD525"/>
    <w:rsid w:val="7FFFDD87"/>
    <w:rsid w:val="7FFFEE82"/>
    <w:rsid w:val="7FFFF031"/>
    <w:rsid w:val="84F7F4B9"/>
    <w:rsid w:val="873F2367"/>
    <w:rsid w:val="8DDE5DF9"/>
    <w:rsid w:val="8ECD52C5"/>
    <w:rsid w:val="8EF95016"/>
    <w:rsid w:val="8F6ABC93"/>
    <w:rsid w:val="8F7F15E8"/>
    <w:rsid w:val="8F93B3FA"/>
    <w:rsid w:val="8FFF574F"/>
    <w:rsid w:val="9737B802"/>
    <w:rsid w:val="99AD5E2F"/>
    <w:rsid w:val="99FAF632"/>
    <w:rsid w:val="9BBC9E4B"/>
    <w:rsid w:val="9D4B5CFF"/>
    <w:rsid w:val="9D6CD1CA"/>
    <w:rsid w:val="9DEA1BB2"/>
    <w:rsid w:val="9DEFCAA0"/>
    <w:rsid w:val="9DFBBF00"/>
    <w:rsid w:val="9E1DDE32"/>
    <w:rsid w:val="9F56A4B3"/>
    <w:rsid w:val="9F7AC5BB"/>
    <w:rsid w:val="9F7AEAA1"/>
    <w:rsid w:val="9F7D5F5C"/>
    <w:rsid w:val="9FF74851"/>
    <w:rsid w:val="9FFBC48D"/>
    <w:rsid w:val="9FFFE5C7"/>
    <w:rsid w:val="9FFFFA2B"/>
    <w:rsid w:val="A0FFBF6B"/>
    <w:rsid w:val="A133D5F2"/>
    <w:rsid w:val="A39F9FCD"/>
    <w:rsid w:val="A4CDD0A3"/>
    <w:rsid w:val="A57DBD6E"/>
    <w:rsid w:val="A6FBFB9F"/>
    <w:rsid w:val="A75FB28B"/>
    <w:rsid w:val="A7B4A885"/>
    <w:rsid w:val="A8CE4FAD"/>
    <w:rsid w:val="A9FE7462"/>
    <w:rsid w:val="ABBBCF25"/>
    <w:rsid w:val="AC69917F"/>
    <w:rsid w:val="ACE8CCA5"/>
    <w:rsid w:val="ACFE56E6"/>
    <w:rsid w:val="AD5F5AE9"/>
    <w:rsid w:val="AD77EF64"/>
    <w:rsid w:val="ADD128CB"/>
    <w:rsid w:val="ADFA8ADB"/>
    <w:rsid w:val="AE73780B"/>
    <w:rsid w:val="AE9FB300"/>
    <w:rsid w:val="AF6A3CEB"/>
    <w:rsid w:val="AF9F69C8"/>
    <w:rsid w:val="AFB735EE"/>
    <w:rsid w:val="AFBE9E38"/>
    <w:rsid w:val="AFD58DF1"/>
    <w:rsid w:val="AFDBA861"/>
    <w:rsid w:val="AFDFCADA"/>
    <w:rsid w:val="AFE72085"/>
    <w:rsid w:val="AFEA2E3E"/>
    <w:rsid w:val="AFEAC9AF"/>
    <w:rsid w:val="AFFB8BDD"/>
    <w:rsid w:val="AFFF3399"/>
    <w:rsid w:val="AFFFCBA2"/>
    <w:rsid w:val="AFFFE9A4"/>
    <w:rsid w:val="B1F75D84"/>
    <w:rsid w:val="B37A7654"/>
    <w:rsid w:val="B4A961B6"/>
    <w:rsid w:val="B5D5B553"/>
    <w:rsid w:val="B5FF6664"/>
    <w:rsid w:val="B62F3C99"/>
    <w:rsid w:val="B72F0353"/>
    <w:rsid w:val="B73F879D"/>
    <w:rsid w:val="B77DA01C"/>
    <w:rsid w:val="B77F16A6"/>
    <w:rsid w:val="B7AB2FC8"/>
    <w:rsid w:val="B7DAB1A8"/>
    <w:rsid w:val="B7FDC13C"/>
    <w:rsid w:val="B7FF70F5"/>
    <w:rsid w:val="B8CC0091"/>
    <w:rsid w:val="B9C6513B"/>
    <w:rsid w:val="B9EB02FE"/>
    <w:rsid w:val="BA7B23C6"/>
    <w:rsid w:val="BAFE2FCF"/>
    <w:rsid w:val="BB4E34A5"/>
    <w:rsid w:val="BB5F1E74"/>
    <w:rsid w:val="BB5F82C5"/>
    <w:rsid w:val="BB9734E8"/>
    <w:rsid w:val="BB9F5928"/>
    <w:rsid w:val="BBCBD4CD"/>
    <w:rsid w:val="BBCEA8BA"/>
    <w:rsid w:val="BBCF14A1"/>
    <w:rsid w:val="BBE9B2DE"/>
    <w:rsid w:val="BBEEC105"/>
    <w:rsid w:val="BCAD4651"/>
    <w:rsid w:val="BCCB8ECE"/>
    <w:rsid w:val="BD5F08EC"/>
    <w:rsid w:val="BD7C269D"/>
    <w:rsid w:val="BD7FDF6A"/>
    <w:rsid w:val="BDFD46BC"/>
    <w:rsid w:val="BDFEF34A"/>
    <w:rsid w:val="BDFFAE68"/>
    <w:rsid w:val="BE7D24F6"/>
    <w:rsid w:val="BEA6B462"/>
    <w:rsid w:val="BEBF640B"/>
    <w:rsid w:val="BEECCF6C"/>
    <w:rsid w:val="BEEFD51C"/>
    <w:rsid w:val="BEF95DEC"/>
    <w:rsid w:val="BEFE24ED"/>
    <w:rsid w:val="BEFF9F49"/>
    <w:rsid w:val="BF374E58"/>
    <w:rsid w:val="BF5FE9F9"/>
    <w:rsid w:val="BF63E9FD"/>
    <w:rsid w:val="BFA94E57"/>
    <w:rsid w:val="BFBF75F2"/>
    <w:rsid w:val="BFC7A751"/>
    <w:rsid w:val="BFD19FB1"/>
    <w:rsid w:val="BFF3A129"/>
    <w:rsid w:val="BFF3BE81"/>
    <w:rsid w:val="BFFF2233"/>
    <w:rsid w:val="BFFFC2A6"/>
    <w:rsid w:val="BFFFE73B"/>
    <w:rsid w:val="BFFFFC68"/>
    <w:rsid w:val="C0E79C65"/>
    <w:rsid w:val="C7B7D447"/>
    <w:rsid w:val="C7FD0AD9"/>
    <w:rsid w:val="CAF88CF3"/>
    <w:rsid w:val="CBBDC012"/>
    <w:rsid w:val="CBFBCB54"/>
    <w:rsid w:val="CBFC8F54"/>
    <w:rsid w:val="CBFF2F20"/>
    <w:rsid w:val="CD3EDDE9"/>
    <w:rsid w:val="CD72E907"/>
    <w:rsid w:val="CDE3BCB0"/>
    <w:rsid w:val="CEE70554"/>
    <w:rsid w:val="CF77647D"/>
    <w:rsid w:val="CF935965"/>
    <w:rsid w:val="CFB76867"/>
    <w:rsid w:val="CFEBFF93"/>
    <w:rsid w:val="CFF71F8A"/>
    <w:rsid w:val="CFFA55ED"/>
    <w:rsid w:val="CFFE1005"/>
    <w:rsid w:val="CFFE78E6"/>
    <w:rsid w:val="CFFF7263"/>
    <w:rsid w:val="D34F586A"/>
    <w:rsid w:val="D3793DE2"/>
    <w:rsid w:val="D3ED1EE1"/>
    <w:rsid w:val="D55D7A8D"/>
    <w:rsid w:val="D5773DD5"/>
    <w:rsid w:val="D5FA8277"/>
    <w:rsid w:val="D5FFBC04"/>
    <w:rsid w:val="D6BF5DC0"/>
    <w:rsid w:val="D6FE3199"/>
    <w:rsid w:val="D77D9D36"/>
    <w:rsid w:val="D7B64BE3"/>
    <w:rsid w:val="D7DB0D26"/>
    <w:rsid w:val="D7DBA68F"/>
    <w:rsid w:val="D7EF111F"/>
    <w:rsid w:val="D7F61A29"/>
    <w:rsid w:val="D7F97EBA"/>
    <w:rsid w:val="D7FC41F1"/>
    <w:rsid w:val="D99FEFE3"/>
    <w:rsid w:val="D9BE141A"/>
    <w:rsid w:val="D9DE8B7C"/>
    <w:rsid w:val="D9FDE0DB"/>
    <w:rsid w:val="DAFB9DEB"/>
    <w:rsid w:val="DB7B234B"/>
    <w:rsid w:val="DB7D1620"/>
    <w:rsid w:val="DBBF8B42"/>
    <w:rsid w:val="DBBFDF94"/>
    <w:rsid w:val="DBD587C5"/>
    <w:rsid w:val="DBD69332"/>
    <w:rsid w:val="DBDF68C1"/>
    <w:rsid w:val="DBE78997"/>
    <w:rsid w:val="DBF6B562"/>
    <w:rsid w:val="DBFF843D"/>
    <w:rsid w:val="DC3B1F09"/>
    <w:rsid w:val="DC712DC0"/>
    <w:rsid w:val="DCB2636B"/>
    <w:rsid w:val="DCF54A05"/>
    <w:rsid w:val="DD2D37ED"/>
    <w:rsid w:val="DD3F2A0C"/>
    <w:rsid w:val="DD785F3D"/>
    <w:rsid w:val="DDBD61F1"/>
    <w:rsid w:val="DDFF3AE2"/>
    <w:rsid w:val="DE330624"/>
    <w:rsid w:val="DE65C11E"/>
    <w:rsid w:val="DEAD8E99"/>
    <w:rsid w:val="DEC7B337"/>
    <w:rsid w:val="DEDE9F62"/>
    <w:rsid w:val="DEEF15F5"/>
    <w:rsid w:val="DEEFC9F9"/>
    <w:rsid w:val="DEFC976B"/>
    <w:rsid w:val="DEFD5228"/>
    <w:rsid w:val="DEFDFC24"/>
    <w:rsid w:val="DEFF66A2"/>
    <w:rsid w:val="DEFFC598"/>
    <w:rsid w:val="DF1E21FB"/>
    <w:rsid w:val="DF574ED1"/>
    <w:rsid w:val="DF64C974"/>
    <w:rsid w:val="DF7EA776"/>
    <w:rsid w:val="DF7F4D84"/>
    <w:rsid w:val="DFAA26FA"/>
    <w:rsid w:val="DFB77DD9"/>
    <w:rsid w:val="DFDD94A9"/>
    <w:rsid w:val="DFDF2251"/>
    <w:rsid w:val="DFDF8094"/>
    <w:rsid w:val="DFDFDDB0"/>
    <w:rsid w:val="DFE117C4"/>
    <w:rsid w:val="DFE3DBE6"/>
    <w:rsid w:val="DFEB4ADC"/>
    <w:rsid w:val="DFEF04D5"/>
    <w:rsid w:val="DFEF5BD4"/>
    <w:rsid w:val="DFEFD79F"/>
    <w:rsid w:val="DFF37E96"/>
    <w:rsid w:val="DFF73440"/>
    <w:rsid w:val="DFF7E9E8"/>
    <w:rsid w:val="DFFCCCAF"/>
    <w:rsid w:val="DFFD1EE0"/>
    <w:rsid w:val="DFFD5587"/>
    <w:rsid w:val="DFFD68B0"/>
    <w:rsid w:val="DFFEB1F0"/>
    <w:rsid w:val="DFFF011C"/>
    <w:rsid w:val="DFFF0AE5"/>
    <w:rsid w:val="DFFF616C"/>
    <w:rsid w:val="DFFF8C1E"/>
    <w:rsid w:val="DFFFE8E0"/>
    <w:rsid w:val="E05E99FF"/>
    <w:rsid w:val="E34FD4A1"/>
    <w:rsid w:val="E3DFEF8C"/>
    <w:rsid w:val="E3FFBF9B"/>
    <w:rsid w:val="E57BE740"/>
    <w:rsid w:val="E70BBA03"/>
    <w:rsid w:val="E77F64D4"/>
    <w:rsid w:val="E7B5FBD7"/>
    <w:rsid w:val="E7BB1EB8"/>
    <w:rsid w:val="E7F74CA4"/>
    <w:rsid w:val="E7FEBE54"/>
    <w:rsid w:val="E91AC537"/>
    <w:rsid w:val="E92AFADF"/>
    <w:rsid w:val="E9F71EFB"/>
    <w:rsid w:val="E9F7B011"/>
    <w:rsid w:val="E9F9943F"/>
    <w:rsid w:val="E9FB2F63"/>
    <w:rsid w:val="EAB5DF94"/>
    <w:rsid w:val="EB56F837"/>
    <w:rsid w:val="EB9F4DB2"/>
    <w:rsid w:val="EBC75B1A"/>
    <w:rsid w:val="EBCD9BC3"/>
    <w:rsid w:val="EBF732C6"/>
    <w:rsid w:val="EBF7BE44"/>
    <w:rsid w:val="EBFFBDE8"/>
    <w:rsid w:val="ECAE8611"/>
    <w:rsid w:val="ED9F168B"/>
    <w:rsid w:val="EDED1469"/>
    <w:rsid w:val="EDF74205"/>
    <w:rsid w:val="EE76EA0B"/>
    <w:rsid w:val="EE7F1383"/>
    <w:rsid w:val="EE8ED451"/>
    <w:rsid w:val="EEBE0BE5"/>
    <w:rsid w:val="EEBF0ACD"/>
    <w:rsid w:val="EED791CA"/>
    <w:rsid w:val="EEF6DF70"/>
    <w:rsid w:val="EF3602C8"/>
    <w:rsid w:val="EF6B6271"/>
    <w:rsid w:val="EF857295"/>
    <w:rsid w:val="EFBFFD90"/>
    <w:rsid w:val="EFD74722"/>
    <w:rsid w:val="EFDFD70E"/>
    <w:rsid w:val="EFE73E86"/>
    <w:rsid w:val="EFEFBF5F"/>
    <w:rsid w:val="EFFF5A59"/>
    <w:rsid w:val="EFFF7483"/>
    <w:rsid w:val="F0AF59DC"/>
    <w:rsid w:val="F0F7A254"/>
    <w:rsid w:val="F14E1DD5"/>
    <w:rsid w:val="F1AE849E"/>
    <w:rsid w:val="F1FDAC09"/>
    <w:rsid w:val="F274D548"/>
    <w:rsid w:val="F2A708E8"/>
    <w:rsid w:val="F2FFB77F"/>
    <w:rsid w:val="F37E10E2"/>
    <w:rsid w:val="F38D895D"/>
    <w:rsid w:val="F3BD4142"/>
    <w:rsid w:val="F3DAF507"/>
    <w:rsid w:val="F3F54342"/>
    <w:rsid w:val="F4196799"/>
    <w:rsid w:val="F4F5E0C0"/>
    <w:rsid w:val="F4F7EB21"/>
    <w:rsid w:val="F4FECF19"/>
    <w:rsid w:val="F4FFDAF8"/>
    <w:rsid w:val="F5BF49C4"/>
    <w:rsid w:val="F5FE9C07"/>
    <w:rsid w:val="F5FF1CA9"/>
    <w:rsid w:val="F5FF374E"/>
    <w:rsid w:val="F5FFC33A"/>
    <w:rsid w:val="F63EFEA3"/>
    <w:rsid w:val="F68BF92F"/>
    <w:rsid w:val="F6932945"/>
    <w:rsid w:val="F6BA26BB"/>
    <w:rsid w:val="F6EC37B1"/>
    <w:rsid w:val="F6EF561E"/>
    <w:rsid w:val="F6F7948F"/>
    <w:rsid w:val="F6FD3784"/>
    <w:rsid w:val="F74F3FE6"/>
    <w:rsid w:val="F76DF0A3"/>
    <w:rsid w:val="F77E5F01"/>
    <w:rsid w:val="F7B15763"/>
    <w:rsid w:val="F7B3517B"/>
    <w:rsid w:val="F7B710A5"/>
    <w:rsid w:val="F7DEC10A"/>
    <w:rsid w:val="F7EA5C84"/>
    <w:rsid w:val="F7F7EEE5"/>
    <w:rsid w:val="F7F810A4"/>
    <w:rsid w:val="F7FAE6E6"/>
    <w:rsid w:val="F7FB0426"/>
    <w:rsid w:val="F7FD1E4D"/>
    <w:rsid w:val="F7FDFCF0"/>
    <w:rsid w:val="F7FF2362"/>
    <w:rsid w:val="F7FF35EB"/>
    <w:rsid w:val="F83CB5CA"/>
    <w:rsid w:val="F88BA6E1"/>
    <w:rsid w:val="F8EDA64F"/>
    <w:rsid w:val="F8FBBDB7"/>
    <w:rsid w:val="F9538731"/>
    <w:rsid w:val="F955F4D8"/>
    <w:rsid w:val="F96E009A"/>
    <w:rsid w:val="F99F8BDB"/>
    <w:rsid w:val="F9CF8CB2"/>
    <w:rsid w:val="F9E69B42"/>
    <w:rsid w:val="F9FA26D9"/>
    <w:rsid w:val="F9FF5B3A"/>
    <w:rsid w:val="FA5DA317"/>
    <w:rsid w:val="FA6B7153"/>
    <w:rsid w:val="FA7A06FB"/>
    <w:rsid w:val="FAEDE806"/>
    <w:rsid w:val="FAF41D82"/>
    <w:rsid w:val="FAFF7040"/>
    <w:rsid w:val="FB0E4BEB"/>
    <w:rsid w:val="FB1748D6"/>
    <w:rsid w:val="FB1E18E2"/>
    <w:rsid w:val="FB3BD7B7"/>
    <w:rsid w:val="FB3FDB46"/>
    <w:rsid w:val="FB6E079A"/>
    <w:rsid w:val="FB750BE0"/>
    <w:rsid w:val="FB7E255A"/>
    <w:rsid w:val="FB9EB0E8"/>
    <w:rsid w:val="FBAEE75E"/>
    <w:rsid w:val="FBDF409C"/>
    <w:rsid w:val="FBE74DA3"/>
    <w:rsid w:val="FBF6FDC0"/>
    <w:rsid w:val="FBF8BAA3"/>
    <w:rsid w:val="FBFB7D3F"/>
    <w:rsid w:val="FBFE8814"/>
    <w:rsid w:val="FC93AFC4"/>
    <w:rsid w:val="FC9A1EE1"/>
    <w:rsid w:val="FD338641"/>
    <w:rsid w:val="FD779963"/>
    <w:rsid w:val="FD7F93EC"/>
    <w:rsid w:val="FD97E83C"/>
    <w:rsid w:val="FDABA8D4"/>
    <w:rsid w:val="FDAFCE37"/>
    <w:rsid w:val="FDBCCEA7"/>
    <w:rsid w:val="FDBF5E42"/>
    <w:rsid w:val="FDD7A529"/>
    <w:rsid w:val="FDDFEB38"/>
    <w:rsid w:val="FDE24C9B"/>
    <w:rsid w:val="FDEA2A97"/>
    <w:rsid w:val="FDF71F08"/>
    <w:rsid w:val="FDF8757C"/>
    <w:rsid w:val="FDFB8FCD"/>
    <w:rsid w:val="FDFD1D01"/>
    <w:rsid w:val="FDFDBD3D"/>
    <w:rsid w:val="FDFED6CA"/>
    <w:rsid w:val="FDFEE91D"/>
    <w:rsid w:val="FDFFF8E1"/>
    <w:rsid w:val="FE734873"/>
    <w:rsid w:val="FE7B7CB0"/>
    <w:rsid w:val="FE7FBEEA"/>
    <w:rsid w:val="FE7FD4A8"/>
    <w:rsid w:val="FEAD003D"/>
    <w:rsid w:val="FEAF2110"/>
    <w:rsid w:val="FEBB52A1"/>
    <w:rsid w:val="FEDA74C4"/>
    <w:rsid w:val="FEDE98EF"/>
    <w:rsid w:val="FEE57FE4"/>
    <w:rsid w:val="FEEBC550"/>
    <w:rsid w:val="FEED75F6"/>
    <w:rsid w:val="FEF71F70"/>
    <w:rsid w:val="FEF942CC"/>
    <w:rsid w:val="FEFD0B6B"/>
    <w:rsid w:val="FEFF17FB"/>
    <w:rsid w:val="FEFF53AA"/>
    <w:rsid w:val="FEFF5F55"/>
    <w:rsid w:val="FF3F288A"/>
    <w:rsid w:val="FF3FACC3"/>
    <w:rsid w:val="FF46A45C"/>
    <w:rsid w:val="FF4AD1EC"/>
    <w:rsid w:val="FF65A8B3"/>
    <w:rsid w:val="FF6C8AD2"/>
    <w:rsid w:val="FF6D2AEC"/>
    <w:rsid w:val="FF6FCB68"/>
    <w:rsid w:val="FF7551C1"/>
    <w:rsid w:val="FF77230F"/>
    <w:rsid w:val="FF7B268C"/>
    <w:rsid w:val="FF7D5C4D"/>
    <w:rsid w:val="FF7FF338"/>
    <w:rsid w:val="FF8CB1D4"/>
    <w:rsid w:val="FF9DB74A"/>
    <w:rsid w:val="FFAF742C"/>
    <w:rsid w:val="FFB74328"/>
    <w:rsid w:val="FFBACEC2"/>
    <w:rsid w:val="FFBC7182"/>
    <w:rsid w:val="FFBF579B"/>
    <w:rsid w:val="FFBFE80A"/>
    <w:rsid w:val="FFC3FA80"/>
    <w:rsid w:val="FFCA5EC3"/>
    <w:rsid w:val="FFCFB3BB"/>
    <w:rsid w:val="FFCFE31C"/>
    <w:rsid w:val="FFD712E4"/>
    <w:rsid w:val="FFDDFAF5"/>
    <w:rsid w:val="FFDF7796"/>
    <w:rsid w:val="FFDF8E59"/>
    <w:rsid w:val="FFDF9015"/>
    <w:rsid w:val="FFE7D486"/>
    <w:rsid w:val="FFE936C0"/>
    <w:rsid w:val="FFED7EC0"/>
    <w:rsid w:val="FFEFF966"/>
    <w:rsid w:val="FFF2FB99"/>
    <w:rsid w:val="FFF3E822"/>
    <w:rsid w:val="FFF59787"/>
    <w:rsid w:val="FFF5FC88"/>
    <w:rsid w:val="FFF64E2B"/>
    <w:rsid w:val="FFF6AB66"/>
    <w:rsid w:val="FFF75CAB"/>
    <w:rsid w:val="FFF7B54B"/>
    <w:rsid w:val="FFF7EE7B"/>
    <w:rsid w:val="FFF8ACFA"/>
    <w:rsid w:val="FFF9271A"/>
    <w:rsid w:val="FFF93735"/>
    <w:rsid w:val="FFF9DBE6"/>
    <w:rsid w:val="FFFABA8B"/>
    <w:rsid w:val="FFFB7923"/>
    <w:rsid w:val="FFFE0970"/>
    <w:rsid w:val="FFFEC2F6"/>
    <w:rsid w:val="FFFF017A"/>
    <w:rsid w:val="FFFF0210"/>
    <w:rsid w:val="FFFF1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next w:val="1"/>
    <w:unhideWhenUsed/>
    <w:qFormat/>
    <w:uiPriority w:val="99"/>
    <w:pPr>
      <w:spacing w:line="560" w:lineRule="exact"/>
      <w:ind w:firstLine="640" w:firstLineChars="200"/>
    </w:pPr>
    <w:rPr>
      <w:rFonts w:ascii="Times New Roman" w:hAnsi="Times New Roman"/>
    </w:rPr>
  </w:style>
  <w:style w:type="paragraph" w:styleId="3">
    <w:name w:val="Body Text Indent"/>
    <w:basedOn w:val="1"/>
    <w:qFormat/>
    <w:uiPriority w:val="0"/>
    <w:pPr>
      <w:ind w:firstLine="720" w:firstLineChars="225"/>
    </w:pPr>
    <w:rPr>
      <w:rFonts w:ascii="Times New Roman" w:hAnsi="Times New Roman" w:eastAsia="宋体" w:cs="Times New Roman"/>
      <w:sz w:val="32"/>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paragraph" w:styleId="10">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6431</Words>
  <Characters>6501</Characters>
  <Lines>68</Lines>
  <Paragraphs>19</Paragraphs>
  <TotalTime>19.3333333333333</TotalTime>
  <ScaleCrop>false</ScaleCrop>
  <LinksUpToDate>false</LinksUpToDate>
  <CharactersWithSpaces>6550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2021-10-19T12:21:00Z</dcterms:created>
  <dc:creator>Administrator</dc:creator>
  <cp:lastModifiedBy>Hello Kitty（＾ω＾）小丸子</cp:lastModifiedBy>
  <cp:lastPrinted>2022-01-19T19:25:11Z</cp:lastPrinted>
  <dcterms:modified xsi:type="dcterms:W3CDTF">2022-01-22T12:08:05Z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FB08E49EF3F94685BD7FDB6B46B43D22</vt:lpwstr>
  </property>
</Properties>
</file>