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国家税务总局浙江省税务局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调整</w:t>
      </w:r>
      <w:r>
        <w:rPr>
          <w:rFonts w:hint="eastAsia" w:ascii="方正小标宋简体" w:hAnsi="华文中宋" w:eastAsia="方正小标宋简体"/>
          <w:sz w:val="44"/>
          <w:szCs w:val="44"/>
        </w:rPr>
        <w:t>印花税、资源税、土地增值税</w:t>
      </w:r>
    </w:p>
    <w:p>
      <w:pPr>
        <w:spacing w:line="560" w:lineRule="exact"/>
        <w:jc w:val="center"/>
        <w:rPr>
          <w:rFonts w:hint="eastAsia" w:ascii="宋体" w:hAnsi="宋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纳税期限</w:t>
      </w:r>
      <w:r>
        <w:rPr>
          <w:rFonts w:hint="eastAsia" w:ascii="方正小标宋简体" w:hAnsi="华文中宋" w:eastAsia="方正小标宋简体"/>
          <w:sz w:val="44"/>
          <w:szCs w:val="44"/>
        </w:rPr>
        <w:t>的公告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（征求意见稿）</w:t>
      </w:r>
    </w:p>
    <w:p>
      <w:pPr>
        <w:snapToGrid w:val="0"/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为贯彻落实党中央、国务院和税务总局深化“放管服”改革、优化税收营商环境决策部署，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深化“多报合一”申报改革，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压减纳税人申报和缴税次数，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提升纳税缴费便利化水平，国家税务总局浙江省税务局决定对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印花税、资源税、土地增值税的纳税期限统一进行简并，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现将有关事项公告如下：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月1日起，除国家税务总局另有规定外，纳税人按固定期限计算纳税的印花税、资源税、土地增值税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（预征、尾盘）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原则上实行按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申报。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spacing w:line="560" w:lineRule="exact"/>
        <w:ind w:right="77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77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国家税务总局浙江省税务局</w:t>
      </w:r>
    </w:p>
    <w:p>
      <w:pPr>
        <w:spacing w:line="56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napToGrid w:val="0"/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4B633A0D"/>
    <w:rsid w:val="4FCF1DBE"/>
    <w:rsid w:val="7E7F42E9"/>
    <w:rsid w:val="BD7DB742"/>
    <w:rsid w:val="DBF4C9CA"/>
    <w:rsid w:val="E2CD03FB"/>
    <w:rsid w:val="FBCF7756"/>
    <w:rsid w:val="FFF7B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kylin</cp:lastModifiedBy>
  <cp:lastPrinted>2022-03-25T17:15:00Z</cp:lastPrinted>
  <dcterms:modified xsi:type="dcterms:W3CDTF">2022-03-24T17:58:57Z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