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29A4" w14:textId="6921E1FA" w:rsidR="00B530C4" w:rsidRPr="00BA3026" w:rsidRDefault="00B530C4" w:rsidP="00B530C4">
      <w:pPr>
        <w:spacing w:line="600" w:lineRule="exact"/>
        <w:rPr>
          <w:rFonts w:ascii="黑体" w:eastAsia="黑体" w:hAnsi="黑体"/>
          <w:sz w:val="32"/>
          <w:szCs w:val="32"/>
        </w:rPr>
      </w:pPr>
      <w:r w:rsidRPr="00B530C4">
        <w:rPr>
          <w:rFonts w:ascii="黑体" w:eastAsia="黑体" w:hAnsi="黑体" w:hint="eastAsia"/>
          <w:sz w:val="32"/>
          <w:szCs w:val="32"/>
        </w:rPr>
        <w:t>附件2</w:t>
      </w:r>
    </w:p>
    <w:p w14:paraId="5829E672" w14:textId="2BC11CF8" w:rsidR="0063760D" w:rsidRDefault="006635D0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关于对《北京市商业保理公司监督管理办法（征求意见稿）》的起草说明</w:t>
      </w:r>
    </w:p>
    <w:p w14:paraId="5A7A8019" w14:textId="77777777" w:rsidR="0063760D" w:rsidRDefault="0063760D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891335F" w14:textId="77777777" w:rsidR="0063760D" w:rsidRDefault="006635D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为做好北京市</w:t>
      </w:r>
      <w:r>
        <w:rPr>
          <w:rFonts w:ascii="仿宋_GB2312" w:eastAsia="仿宋_GB2312" w:hint="eastAsia"/>
          <w:color w:val="0D0D0D"/>
          <w:sz w:val="32"/>
          <w:szCs w:val="32"/>
        </w:rPr>
        <w:t>商业保理公司监管工作，</w:t>
      </w:r>
      <w:r>
        <w:rPr>
          <w:rFonts w:ascii="仿宋_GB2312" w:eastAsia="仿宋_GB2312"/>
          <w:color w:val="0D0D0D"/>
          <w:sz w:val="32"/>
          <w:szCs w:val="32"/>
        </w:rPr>
        <w:t>促进</w:t>
      </w:r>
      <w:r>
        <w:rPr>
          <w:rFonts w:ascii="仿宋_GB2312" w:eastAsia="仿宋_GB2312" w:hint="eastAsia"/>
          <w:color w:val="0D0D0D"/>
          <w:sz w:val="32"/>
          <w:szCs w:val="32"/>
        </w:rPr>
        <w:t>商业保理公司</w:t>
      </w:r>
      <w:r>
        <w:rPr>
          <w:rFonts w:ascii="仿宋_GB2312" w:eastAsia="仿宋_GB2312"/>
          <w:color w:val="0D0D0D"/>
          <w:sz w:val="32"/>
          <w:szCs w:val="32"/>
        </w:rPr>
        <w:t>规范健康发展，</w:t>
      </w:r>
      <w:r>
        <w:rPr>
          <w:rFonts w:ascii="仿宋_GB2312" w:eastAsia="仿宋_GB2312" w:hint="eastAsia"/>
          <w:color w:val="0D0D0D"/>
          <w:sz w:val="32"/>
          <w:szCs w:val="32"/>
        </w:rPr>
        <w:t>防范化解相关金融风险，</w:t>
      </w:r>
      <w:r>
        <w:rPr>
          <w:rFonts w:ascii="仿宋_GB2312" w:eastAsia="仿宋_GB2312" w:hint="eastAsia"/>
          <w:sz w:val="32"/>
          <w:szCs w:val="32"/>
        </w:rPr>
        <w:t>我局结合日常监管情况，研究</w:t>
      </w:r>
      <w:r>
        <w:rPr>
          <w:rFonts w:ascii="仿宋_GB2312" w:eastAsia="仿宋_GB2312" w:hint="eastAsia"/>
          <w:color w:val="0D0D0D"/>
          <w:sz w:val="32"/>
          <w:szCs w:val="32"/>
        </w:rPr>
        <w:t>起草了《北京市商业保理公司监督管理办法（征求意见稿）》（以下简称商业保理公司《监管办法》）。现将有关情况说明如下：</w:t>
      </w:r>
    </w:p>
    <w:p w14:paraId="656C99C1" w14:textId="77777777" w:rsidR="0063760D" w:rsidRDefault="006635D0">
      <w:pPr>
        <w:pStyle w:val="a7"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起草背景</w:t>
      </w:r>
    </w:p>
    <w:p w14:paraId="12535D94" w14:textId="77777777" w:rsidR="0063760D" w:rsidRDefault="006635D0">
      <w:pPr>
        <w:spacing w:line="560" w:lineRule="exact"/>
        <w:ind w:firstLineChars="200" w:firstLine="640"/>
        <w:jc w:val="left"/>
        <w:rPr>
          <w:rFonts w:ascii="仿宋_GB2312" w:eastAsia="仿宋_GB2312" w:hAnsi="黑体" w:cs="黑体"/>
          <w:bCs/>
          <w:color w:val="0D0D0D"/>
          <w:sz w:val="32"/>
          <w:szCs w:val="32"/>
        </w:rPr>
      </w:pPr>
      <w:r>
        <w:rPr>
          <w:rFonts w:ascii="仿宋_GB2312" w:eastAsia="仿宋_GB2312" w:hint="eastAsia"/>
          <w:color w:val="0D0D0D"/>
          <w:sz w:val="32"/>
          <w:szCs w:val="32"/>
        </w:rPr>
        <w:t>为贯彻落实</w:t>
      </w:r>
      <w:r>
        <w:rPr>
          <w:rFonts w:ascii="仿宋_GB2312" w:eastAsia="仿宋_GB2312"/>
          <w:color w:val="0D0D0D"/>
          <w:sz w:val="32"/>
          <w:szCs w:val="32"/>
        </w:rPr>
        <w:t>全国金融工作会议精神</w:t>
      </w:r>
      <w:r>
        <w:rPr>
          <w:rFonts w:ascii="仿宋_GB2312" w:eastAsia="仿宋_GB2312" w:hint="eastAsia"/>
          <w:color w:val="0D0D0D"/>
          <w:sz w:val="32"/>
          <w:szCs w:val="32"/>
        </w:rPr>
        <w:t>，结合当前本市商业保理公司的实际发展情况和监管工作需求，引导商业保理公司回归主业，规范健康发展，充分发挥服务实体经济的作用，我局依据《北京市地方金融监督管理条例》和国家金融监管部门有关文件规定，按照起草规范性文件的有关工作要求，研究起草了商业保理公司《监管办法》。</w:t>
      </w:r>
    </w:p>
    <w:p w14:paraId="2339AFCA" w14:textId="77777777" w:rsidR="0063760D" w:rsidRDefault="006635D0">
      <w:pPr>
        <w:pStyle w:val="a7"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主要内容</w:t>
      </w:r>
    </w:p>
    <w:p w14:paraId="7719949F" w14:textId="408CA7E3" w:rsidR="0063760D" w:rsidRDefault="006635D0" w:rsidP="001E6F5C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商业保理公司《监管办法》分为七章，共四十二条。第一章:总则，共四条，主要是对法律依据、适用对象、监管主体进行了界定；第二章：</w:t>
      </w:r>
      <w:r>
        <w:rPr>
          <w:rFonts w:ascii="仿宋_GB2312" w:eastAsia="仿宋_GB2312" w:hint="eastAsia"/>
          <w:bCs/>
          <w:sz w:val="32"/>
          <w:szCs w:val="32"/>
        </w:rPr>
        <w:t>设立、变更</w:t>
      </w:r>
      <w:r w:rsidR="004E4E57">
        <w:rPr>
          <w:rFonts w:ascii="仿宋_GB2312" w:eastAsia="仿宋_GB2312" w:hint="eastAsia"/>
          <w:bCs/>
          <w:sz w:val="32"/>
          <w:szCs w:val="32"/>
        </w:rPr>
        <w:t>和</w:t>
      </w:r>
      <w:r>
        <w:rPr>
          <w:rFonts w:ascii="仿宋_GB2312" w:eastAsia="仿宋_GB2312" w:hint="eastAsia"/>
          <w:bCs/>
          <w:sz w:val="32"/>
          <w:szCs w:val="32"/>
        </w:rPr>
        <w:t>终止，共十条，</w:t>
      </w:r>
      <w:r>
        <w:rPr>
          <w:rFonts w:ascii="仿宋_GB2312" w:eastAsia="仿宋_GB2312" w:hint="eastAsia"/>
          <w:sz w:val="32"/>
          <w:szCs w:val="32"/>
        </w:rPr>
        <w:t>明确商业保理公司设立条件、变更和退出流程</w:t>
      </w:r>
      <w:r>
        <w:rPr>
          <w:rFonts w:ascii="仿宋_GB2312" w:eastAsia="仿宋_GB2312" w:hint="eastAsia"/>
          <w:bCs/>
          <w:sz w:val="32"/>
          <w:szCs w:val="32"/>
        </w:rPr>
        <w:t>；第三章：经营规则，共十二条，</w:t>
      </w:r>
      <w:r>
        <w:rPr>
          <w:rFonts w:ascii="仿宋_GB2312" w:eastAsia="仿宋_GB2312" w:hint="eastAsia"/>
          <w:sz w:val="32"/>
          <w:szCs w:val="32"/>
        </w:rPr>
        <w:t>明确了商业保理公司可以从事的业务范围、</w:t>
      </w:r>
      <w:r>
        <w:rPr>
          <w:rFonts w:ascii="仿宋_GB2312" w:eastAsia="仿宋_GB2312" w:hint="eastAsia"/>
          <w:color w:val="0D0D0D"/>
          <w:sz w:val="32"/>
          <w:szCs w:val="32"/>
        </w:rPr>
        <w:t>应当坚守的底线及</w:t>
      </w:r>
      <w:r>
        <w:rPr>
          <w:rFonts w:ascii="仿宋_GB2312" w:eastAsia="仿宋_GB2312" w:hint="eastAsia"/>
          <w:sz w:val="32"/>
          <w:szCs w:val="32"/>
        </w:rPr>
        <w:t>商业保理公司的内控机制、风险管理体系、</w:t>
      </w:r>
      <w:r>
        <w:rPr>
          <w:rFonts w:ascii="仿宋_GB2312" w:eastAsia="仿宋_GB2312"/>
          <w:sz w:val="32"/>
          <w:szCs w:val="32"/>
        </w:rPr>
        <w:t>内部审计制度</w:t>
      </w:r>
      <w:r>
        <w:rPr>
          <w:rFonts w:ascii="仿宋_GB2312" w:eastAsia="仿宋_GB2312" w:hint="eastAsia"/>
          <w:sz w:val="32"/>
          <w:szCs w:val="32"/>
        </w:rPr>
        <w:t>等内容，以及</w:t>
      </w:r>
      <w:r>
        <w:rPr>
          <w:rFonts w:ascii="仿宋_GB2312" w:eastAsia="仿宋_GB2312" w:hint="eastAsia"/>
          <w:bCs/>
          <w:sz w:val="32"/>
          <w:szCs w:val="32"/>
        </w:rPr>
        <w:t>商业保理公司各项监管比例限制，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如集中度、关联度、杠杆比例等</w:t>
      </w:r>
      <w:r>
        <w:rPr>
          <w:rFonts w:ascii="仿宋_GB2312" w:eastAsia="仿宋_GB2312" w:hint="eastAsia"/>
          <w:color w:val="0D0D0D"/>
          <w:sz w:val="32"/>
          <w:szCs w:val="32"/>
        </w:rPr>
        <w:t>；</w:t>
      </w:r>
      <w:r>
        <w:rPr>
          <w:rFonts w:ascii="仿宋_GB2312" w:eastAsia="仿宋_GB2312" w:hint="eastAsia"/>
          <w:bCs/>
          <w:sz w:val="32"/>
          <w:szCs w:val="32"/>
        </w:rPr>
        <w:t>第四章：</w:t>
      </w:r>
      <w:r>
        <w:rPr>
          <w:rFonts w:ascii="仿宋_GB2312" w:eastAsia="仿宋_GB2312"/>
          <w:bCs/>
          <w:sz w:val="32"/>
          <w:szCs w:val="32"/>
        </w:rPr>
        <w:t>监督管理</w:t>
      </w:r>
      <w:r>
        <w:rPr>
          <w:rFonts w:ascii="仿宋_GB2312" w:eastAsia="仿宋_GB2312" w:hint="eastAsia"/>
          <w:bCs/>
          <w:sz w:val="32"/>
          <w:szCs w:val="32"/>
        </w:rPr>
        <w:t>，共七条，</w:t>
      </w:r>
      <w:r>
        <w:rPr>
          <w:rFonts w:ascii="仿宋_GB2312" w:eastAsia="仿宋_GB2312" w:hint="eastAsia"/>
          <w:sz w:val="32"/>
          <w:szCs w:val="32"/>
        </w:rPr>
        <w:t>主要是对监管机制、监管职责、监管措施等方面进行规定；第五章：行业自律，共五条，明确了行业自律组织的职责和作用；第六章：法律责任，共一条，对</w:t>
      </w:r>
      <w:r>
        <w:rPr>
          <w:rFonts w:ascii="仿宋_GB2312" w:eastAsia="仿宋_GB2312" w:hAnsi="Calibri"/>
          <w:color w:val="000000"/>
          <w:sz w:val="32"/>
          <w:szCs w:val="32"/>
        </w:rPr>
        <w:t>违反本办法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的处罚措施进行了规定；</w:t>
      </w:r>
      <w:r>
        <w:rPr>
          <w:rFonts w:ascii="仿宋_GB2312" w:eastAsia="仿宋_GB2312" w:hint="eastAsia"/>
          <w:sz w:val="32"/>
          <w:szCs w:val="32"/>
        </w:rPr>
        <w:t>第七章：附则，</w:t>
      </w:r>
      <w:r>
        <w:rPr>
          <w:rFonts w:ascii="仿宋_GB2312" w:eastAsia="仿宋_GB2312" w:hint="eastAsia"/>
          <w:bCs/>
          <w:sz w:val="32"/>
          <w:szCs w:val="32"/>
        </w:rPr>
        <w:t>共三条，主要涉及解释权、施行时间事项。</w:t>
      </w:r>
    </w:p>
    <w:p w14:paraId="2B679977" w14:textId="77777777" w:rsidR="0063760D" w:rsidRDefault="0063760D">
      <w:pPr>
        <w:spacing w:line="560" w:lineRule="exact"/>
        <w:ind w:firstLineChars="1200" w:firstLine="3840"/>
        <w:rPr>
          <w:rFonts w:ascii="仿宋_GB2312" w:eastAsia="仿宋_GB2312"/>
          <w:bCs/>
          <w:sz w:val="32"/>
          <w:szCs w:val="32"/>
        </w:rPr>
      </w:pPr>
    </w:p>
    <w:sectPr w:rsidR="0063760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6C04" w14:textId="77777777" w:rsidR="001A5CCD" w:rsidRDefault="001A5CCD">
      <w:r>
        <w:separator/>
      </w:r>
    </w:p>
  </w:endnote>
  <w:endnote w:type="continuationSeparator" w:id="0">
    <w:p w14:paraId="4D5F85ED" w14:textId="77777777" w:rsidR="001A5CCD" w:rsidRDefault="001A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0F96" w14:textId="77777777" w:rsidR="0063760D" w:rsidRDefault="006635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7DA1D" wp14:editId="31D77C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D01EE8" w14:textId="77777777" w:rsidR="0063760D" w:rsidRDefault="006635D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7DA1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2D01EE8" w14:textId="77777777" w:rsidR="0063760D" w:rsidRDefault="006635D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5B0E" w14:textId="77777777" w:rsidR="001A5CCD" w:rsidRDefault="001A5CCD">
      <w:r>
        <w:separator/>
      </w:r>
    </w:p>
  </w:footnote>
  <w:footnote w:type="continuationSeparator" w:id="0">
    <w:p w14:paraId="09FD2D4A" w14:textId="77777777" w:rsidR="001A5CCD" w:rsidRDefault="001A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CCF"/>
    <w:multiLevelType w:val="multilevel"/>
    <w:tmpl w:val="12725CCF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E20658"/>
    <w:rsid w:val="00082982"/>
    <w:rsid w:val="001A5CCD"/>
    <w:rsid w:val="001E6F5C"/>
    <w:rsid w:val="00321B53"/>
    <w:rsid w:val="00370484"/>
    <w:rsid w:val="004E4E57"/>
    <w:rsid w:val="0052267E"/>
    <w:rsid w:val="0054494C"/>
    <w:rsid w:val="0056199F"/>
    <w:rsid w:val="0063760D"/>
    <w:rsid w:val="006635D0"/>
    <w:rsid w:val="006C0842"/>
    <w:rsid w:val="007661BB"/>
    <w:rsid w:val="00857EC1"/>
    <w:rsid w:val="00861982"/>
    <w:rsid w:val="00893F64"/>
    <w:rsid w:val="0099003B"/>
    <w:rsid w:val="00A85639"/>
    <w:rsid w:val="00B530C4"/>
    <w:rsid w:val="00BA3026"/>
    <w:rsid w:val="00CD145B"/>
    <w:rsid w:val="00CD37D7"/>
    <w:rsid w:val="00CD3A67"/>
    <w:rsid w:val="00CD751A"/>
    <w:rsid w:val="00D1585B"/>
    <w:rsid w:val="00DA2314"/>
    <w:rsid w:val="00E75958"/>
    <w:rsid w:val="00F0038A"/>
    <w:rsid w:val="00F84245"/>
    <w:rsid w:val="03C24974"/>
    <w:rsid w:val="099559F9"/>
    <w:rsid w:val="0A7114A7"/>
    <w:rsid w:val="0C204979"/>
    <w:rsid w:val="0DA05684"/>
    <w:rsid w:val="10907C4A"/>
    <w:rsid w:val="120D4F64"/>
    <w:rsid w:val="14096B48"/>
    <w:rsid w:val="15775490"/>
    <w:rsid w:val="197B6117"/>
    <w:rsid w:val="21D7645E"/>
    <w:rsid w:val="233F6292"/>
    <w:rsid w:val="28F05770"/>
    <w:rsid w:val="2FB02D31"/>
    <w:rsid w:val="304A3DE7"/>
    <w:rsid w:val="36E20658"/>
    <w:rsid w:val="4DB65454"/>
    <w:rsid w:val="51154537"/>
    <w:rsid w:val="51B60094"/>
    <w:rsid w:val="54F42E43"/>
    <w:rsid w:val="56427E04"/>
    <w:rsid w:val="567C652C"/>
    <w:rsid w:val="5A3E1904"/>
    <w:rsid w:val="5A9D0D42"/>
    <w:rsid w:val="66776623"/>
    <w:rsid w:val="6A3536D6"/>
    <w:rsid w:val="701E48B1"/>
    <w:rsid w:val="71A1015B"/>
    <w:rsid w:val="734760B4"/>
    <w:rsid w:val="73F36E31"/>
    <w:rsid w:val="747D7987"/>
    <w:rsid w:val="771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04992"/>
  <w15:docId w15:val="{902A9562-52B4-4C39-BEB5-38DF06F4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BlockQuote">
    <w:name w:val="BlockQuote"/>
    <w:basedOn w:val="a"/>
    <w:qFormat/>
    <w:pPr>
      <w:widowControl/>
      <w:spacing w:line="460" w:lineRule="exact"/>
      <w:ind w:leftChars="-171" w:left="-171" w:rightChars="-159" w:right="-159" w:firstLineChars="200" w:firstLine="450"/>
    </w:pPr>
    <w:rPr>
      <w:rFonts w:ascii="仿宋_GB2312" w:eastAsia="仿宋_GB2312" w:hAnsi="仿宋_GB2312"/>
      <w:sz w:val="30"/>
      <w:szCs w:val="30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36215;&#33609;&#35828;&#2612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起草说明</Template>
  <TotalTime>4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赵刚</dc:creator>
  <cp:lastModifiedBy>刘 艳丽</cp:lastModifiedBy>
  <cp:revision>20</cp:revision>
  <cp:lastPrinted>2022-02-22T08:00:00Z</cp:lastPrinted>
  <dcterms:created xsi:type="dcterms:W3CDTF">2021-09-18T07:47:00Z</dcterms:created>
  <dcterms:modified xsi:type="dcterms:W3CDTF">2022-03-23T07:08:00Z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2A7B6CBD951B4EF390C360723F775EB0</vt:lpwstr>
  </property>
</Properties>
</file>