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0D9B" w14:textId="120AD025" w:rsidR="00EE6E9D" w:rsidRDefault="003F4194">
      <w:pPr>
        <w:spacing w:line="560" w:lineRule="exact"/>
        <w:rPr>
          <w:rFonts w:ascii="黑体" w:eastAsia="黑体" w:hAnsi="黑体" w:cs="黑体"/>
          <w:bCs/>
          <w:spacing w:val="-6"/>
          <w:sz w:val="32"/>
          <w:szCs w:val="32"/>
        </w:rPr>
      </w:pPr>
      <w:r>
        <w:rPr>
          <w:rFonts w:ascii="黑体" w:eastAsia="黑体" w:hAnsi="黑体" w:cs="黑体" w:hint="eastAsia"/>
          <w:bCs/>
          <w:spacing w:val="-6"/>
          <w:sz w:val="32"/>
          <w:szCs w:val="32"/>
        </w:rPr>
        <w:t xml:space="preserve"> 附件</w:t>
      </w:r>
      <w:r w:rsidR="00E10D05">
        <w:rPr>
          <w:rFonts w:ascii="黑体" w:eastAsia="黑体" w:hAnsi="黑体" w:cs="黑体"/>
          <w:bCs/>
          <w:spacing w:val="-6"/>
          <w:sz w:val="32"/>
          <w:szCs w:val="32"/>
        </w:rPr>
        <w:t>1</w:t>
      </w:r>
    </w:p>
    <w:p w14:paraId="56EFCE6C" w14:textId="77777777" w:rsidR="00EE6E9D" w:rsidRDefault="00EE6E9D">
      <w:pPr>
        <w:spacing w:line="560" w:lineRule="exact"/>
        <w:jc w:val="center"/>
        <w:rPr>
          <w:rFonts w:ascii="方正小标宋简体" w:eastAsia="方正小标宋简体" w:hAnsi="仿宋"/>
          <w:spacing w:val="-6"/>
          <w:sz w:val="44"/>
          <w:szCs w:val="44"/>
        </w:rPr>
      </w:pPr>
    </w:p>
    <w:p w14:paraId="48CEDA47" w14:textId="77777777" w:rsidR="00EE6E9D" w:rsidRPr="00754BE1" w:rsidRDefault="003F4194">
      <w:pPr>
        <w:spacing w:line="560" w:lineRule="exact"/>
        <w:jc w:val="center"/>
        <w:rPr>
          <w:rFonts w:ascii="宋体" w:hAnsi="宋体"/>
          <w:b/>
          <w:bCs/>
          <w:spacing w:val="-6"/>
          <w:sz w:val="44"/>
          <w:szCs w:val="44"/>
        </w:rPr>
      </w:pPr>
      <w:r w:rsidRPr="00754BE1">
        <w:rPr>
          <w:rFonts w:ascii="宋体" w:hAnsi="宋体" w:hint="eastAsia"/>
          <w:b/>
          <w:bCs/>
          <w:spacing w:val="-6"/>
          <w:sz w:val="44"/>
          <w:szCs w:val="44"/>
        </w:rPr>
        <w:t>北京市商业保理公司监督管理办法</w:t>
      </w:r>
    </w:p>
    <w:p w14:paraId="4298B5DA" w14:textId="77777777" w:rsidR="00EE6E9D" w:rsidRPr="00754BE1" w:rsidRDefault="003F4194">
      <w:pPr>
        <w:spacing w:line="560" w:lineRule="exact"/>
        <w:jc w:val="center"/>
        <w:rPr>
          <w:rFonts w:ascii="宋体" w:hAnsi="宋体"/>
          <w:b/>
          <w:bCs/>
          <w:spacing w:val="-6"/>
          <w:sz w:val="44"/>
          <w:szCs w:val="44"/>
        </w:rPr>
      </w:pPr>
      <w:r w:rsidRPr="00754BE1">
        <w:rPr>
          <w:rFonts w:ascii="宋体" w:hAnsi="宋体" w:hint="eastAsia"/>
          <w:b/>
          <w:bCs/>
          <w:spacing w:val="-6"/>
          <w:sz w:val="44"/>
          <w:szCs w:val="44"/>
        </w:rPr>
        <w:t>（征求意见稿）</w:t>
      </w:r>
    </w:p>
    <w:p w14:paraId="778540C9" w14:textId="77777777" w:rsidR="00EE6E9D" w:rsidRDefault="00EE6E9D">
      <w:pPr>
        <w:spacing w:line="560" w:lineRule="exact"/>
        <w:ind w:firstLineChars="150" w:firstLine="480"/>
        <w:jc w:val="center"/>
        <w:rPr>
          <w:rFonts w:ascii="仿宋" w:eastAsia="仿宋" w:hAnsi="仿宋"/>
          <w:sz w:val="32"/>
          <w:szCs w:val="32"/>
        </w:rPr>
      </w:pPr>
    </w:p>
    <w:p w14:paraId="4E1361FE" w14:textId="77777777" w:rsidR="00EE6E9D" w:rsidRDefault="003F4194">
      <w:pPr>
        <w:spacing w:line="560" w:lineRule="exact"/>
        <w:jc w:val="center"/>
        <w:rPr>
          <w:rFonts w:ascii="黑体" w:eastAsia="黑体" w:hAnsi="黑体"/>
          <w:bCs/>
          <w:sz w:val="32"/>
          <w:szCs w:val="32"/>
        </w:rPr>
      </w:pPr>
      <w:r>
        <w:rPr>
          <w:rFonts w:ascii="黑体" w:eastAsia="黑体" w:hAnsi="黑体" w:hint="eastAsia"/>
          <w:bCs/>
          <w:sz w:val="32"/>
          <w:szCs w:val="32"/>
        </w:rPr>
        <w:t>第一章 总则</w:t>
      </w:r>
    </w:p>
    <w:p w14:paraId="58A33A98"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第一条</w:t>
      </w:r>
      <w:r>
        <w:rPr>
          <w:rFonts w:ascii="仿宋_GB2312" w:eastAsia="仿宋_GB2312" w:hAnsi="仿宋"/>
          <w:sz w:val="32"/>
          <w:szCs w:val="32"/>
        </w:rPr>
        <w:t xml:space="preserve"> </w:t>
      </w:r>
      <w:r>
        <w:rPr>
          <w:rFonts w:ascii="仿宋_GB2312" w:eastAsia="仿宋_GB2312" w:hAnsi="仿宋" w:hint="eastAsia"/>
          <w:sz w:val="32"/>
          <w:szCs w:val="32"/>
        </w:rPr>
        <w:t>为加强北京市商业保理公司监督管理，规范商业保理公司经营行为，促进北京市商业保理行业的健康发展，防范化解地方金融风险，根据《北京市地方金融监督管理条例》</w:t>
      </w:r>
      <w:r>
        <w:rPr>
          <w:rStyle w:val="NormalCharacter"/>
          <w:rFonts w:ascii="仿宋_GB2312" w:eastAsia="仿宋_GB2312" w:hint="eastAsia"/>
          <w:color w:val="000000"/>
          <w:sz w:val="32"/>
          <w:szCs w:val="32"/>
        </w:rPr>
        <w:t>等相关法律法规及监管规定</w:t>
      </w:r>
      <w:r>
        <w:rPr>
          <w:rFonts w:ascii="仿宋_GB2312" w:eastAsia="仿宋_GB2312" w:hAnsi="仿宋" w:hint="eastAsia"/>
          <w:sz w:val="32"/>
          <w:szCs w:val="32"/>
        </w:rPr>
        <w:t>，制定本办法。</w:t>
      </w:r>
    </w:p>
    <w:p w14:paraId="090BB396"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第二条</w:t>
      </w:r>
      <w:r>
        <w:rPr>
          <w:rFonts w:ascii="仿宋_GB2312" w:eastAsia="仿宋_GB2312" w:hAnsi="仿宋"/>
          <w:sz w:val="32"/>
          <w:szCs w:val="32"/>
        </w:rPr>
        <w:t xml:space="preserve"> </w:t>
      </w:r>
      <w:r>
        <w:rPr>
          <w:rFonts w:ascii="仿宋_GB2312" w:eastAsia="仿宋_GB2312" w:hAnsi="仿宋" w:hint="eastAsia"/>
          <w:sz w:val="32"/>
          <w:szCs w:val="32"/>
        </w:rPr>
        <w:t>本办法所称商业保理公司</w:t>
      </w:r>
      <w:r>
        <w:rPr>
          <w:rFonts w:ascii="仿宋_GB2312" w:eastAsia="仿宋_GB2312" w:hint="eastAsia"/>
          <w:color w:val="0D0D0D"/>
          <w:sz w:val="32"/>
          <w:szCs w:val="32"/>
        </w:rPr>
        <w:t>是指在北京市行政区域内依法设立的</w:t>
      </w:r>
      <w:r>
        <w:rPr>
          <w:rFonts w:ascii="仿宋_GB2312" w:eastAsia="仿宋_GB2312" w:hAnsi="仿宋" w:hint="eastAsia"/>
          <w:sz w:val="32"/>
          <w:szCs w:val="32"/>
        </w:rPr>
        <w:t>专门从事商业保理业务的非银行法人机构。</w:t>
      </w:r>
    </w:p>
    <w:p w14:paraId="20F53738"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本办法所称商业保理业务，是指供应商将其基于真实交易的应收账款转让给商业保理公司，由商业保理公司向其提供保理融资、销售分户（分类）账管理、</w:t>
      </w:r>
      <w:r>
        <w:rPr>
          <w:rFonts w:ascii="仿宋_GB2312" w:eastAsia="仿宋_GB2312" w:hAnsi="仿宋"/>
          <w:sz w:val="32"/>
          <w:szCs w:val="32"/>
        </w:rPr>
        <w:t>应收账款催收</w:t>
      </w:r>
      <w:r>
        <w:rPr>
          <w:rFonts w:ascii="仿宋_GB2312" w:eastAsia="仿宋_GB2312" w:hAnsi="仿宋" w:hint="eastAsia"/>
          <w:sz w:val="32"/>
          <w:szCs w:val="32"/>
        </w:rPr>
        <w:t>、非商业性坏账担保、客户资信调查与评估和与商业保理相关的咨询服务等业务。</w:t>
      </w:r>
    </w:p>
    <w:p w14:paraId="7A541BE2" w14:textId="77777777" w:rsidR="00EE6E9D" w:rsidRDefault="003F4194">
      <w:pPr>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第三条</w:t>
      </w:r>
      <w:r>
        <w:rPr>
          <w:rFonts w:ascii="仿宋_GB2312" w:eastAsia="仿宋_GB2312" w:hAnsi="仿宋" w:hint="eastAsia"/>
          <w:sz w:val="32"/>
          <w:szCs w:val="32"/>
        </w:rPr>
        <w:t xml:space="preserve"> 北京市地方金融监督管理局（以下简称市金融监管局）为商业保理公司的市级主管部门，负责本市商业保理公司的监督管理和风险处置。</w:t>
      </w:r>
    </w:p>
    <w:p w14:paraId="07BEA451" w14:textId="77777777" w:rsidR="00EE6E9D" w:rsidRDefault="003F4194">
      <w:pPr>
        <w:spacing w:line="560" w:lineRule="exact"/>
        <w:ind w:firstLineChars="200" w:firstLine="643"/>
        <w:rPr>
          <w:rFonts w:ascii="仿宋_GB2312" w:eastAsia="仿宋_GB2312" w:hAnsi="黑体"/>
          <w:bCs/>
          <w:color w:val="0D0D0D"/>
          <w:sz w:val="32"/>
          <w:szCs w:val="32"/>
        </w:rPr>
      </w:pPr>
      <w:r>
        <w:rPr>
          <w:rFonts w:ascii="仿宋_GB2312" w:eastAsia="仿宋_GB2312" w:hAnsi="仿宋" w:hint="eastAsia"/>
          <w:b/>
          <w:bCs/>
          <w:sz w:val="32"/>
          <w:szCs w:val="32"/>
        </w:rPr>
        <w:t>第四条</w:t>
      </w:r>
      <w:r>
        <w:rPr>
          <w:rFonts w:ascii="仿宋_GB2312" w:eastAsia="仿宋_GB2312" w:hint="eastAsia"/>
          <w:color w:val="0D0D0D"/>
          <w:sz w:val="32"/>
          <w:szCs w:val="32"/>
        </w:rPr>
        <w:t xml:space="preserve">  区人民政府负责金融工作的部门（以下简称区金融工作部门）是所在区商业保理公司日常管理和风险处置的属地责任部门，承担本辖区的商业保理公司设立、变更、终止、日常监督管理和风险防范处置的具体工作。</w:t>
      </w:r>
    </w:p>
    <w:p w14:paraId="37B26A9A" w14:textId="77777777" w:rsidR="00EE6E9D" w:rsidRDefault="003F4194">
      <w:pPr>
        <w:spacing w:line="560" w:lineRule="exact"/>
        <w:jc w:val="center"/>
        <w:rPr>
          <w:rFonts w:ascii="黑体" w:eastAsia="黑体" w:hAnsi="黑体"/>
          <w:bCs/>
          <w:sz w:val="32"/>
          <w:szCs w:val="32"/>
        </w:rPr>
      </w:pPr>
      <w:r>
        <w:rPr>
          <w:rFonts w:ascii="黑体" w:eastAsia="黑体" w:hAnsi="黑体" w:hint="eastAsia"/>
          <w:bCs/>
          <w:sz w:val="32"/>
          <w:szCs w:val="32"/>
        </w:rPr>
        <w:lastRenderedPageBreak/>
        <w:t>第二章  设立、变更和终止</w:t>
      </w:r>
    </w:p>
    <w:p w14:paraId="52B0721B" w14:textId="77777777" w:rsidR="00EE6E9D" w:rsidRDefault="003F4194">
      <w:pPr>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第五条</w:t>
      </w:r>
      <w:r>
        <w:rPr>
          <w:rFonts w:ascii="仿宋_GB2312" w:eastAsia="仿宋_GB2312" w:hAnsi="仿宋"/>
          <w:sz w:val="32"/>
          <w:szCs w:val="32"/>
        </w:rPr>
        <w:t xml:space="preserve"> </w:t>
      </w:r>
      <w:r>
        <w:rPr>
          <w:rFonts w:ascii="仿宋_GB2312" w:eastAsia="仿宋_GB2312" w:hAnsi="仿宋" w:hint="eastAsia"/>
          <w:sz w:val="32"/>
          <w:szCs w:val="32"/>
        </w:rPr>
        <w:t>申请设立商业保理公司，应当经市金融监管局批准。</w:t>
      </w:r>
      <w:r>
        <w:rPr>
          <w:rFonts w:ascii="仿宋_GB2312" w:eastAsia="仿宋_GB2312" w:hint="eastAsia"/>
          <w:color w:val="0D0D0D"/>
          <w:sz w:val="32"/>
          <w:szCs w:val="32"/>
        </w:rPr>
        <w:t>未经市金融监管局批准，</w:t>
      </w:r>
      <w:r>
        <w:rPr>
          <w:rFonts w:ascii="仿宋_GB2312" w:eastAsia="仿宋_GB2312"/>
          <w:color w:val="0D0D0D"/>
          <w:sz w:val="32"/>
          <w:szCs w:val="32"/>
        </w:rPr>
        <w:t>任何</w:t>
      </w:r>
      <w:r>
        <w:rPr>
          <w:rFonts w:ascii="仿宋_GB2312" w:eastAsia="仿宋_GB2312" w:hint="eastAsia"/>
          <w:color w:val="0D0D0D"/>
          <w:sz w:val="32"/>
          <w:szCs w:val="32"/>
        </w:rPr>
        <w:t>单位和个人不得</w:t>
      </w:r>
      <w:r>
        <w:rPr>
          <w:rFonts w:ascii="仿宋_GB2312" w:eastAsia="仿宋_GB2312" w:hint="eastAsia"/>
          <w:color w:val="0D0D0D"/>
          <w:sz w:val="32"/>
          <w:szCs w:val="32"/>
          <w:lang w:eastAsia="zh-Hans"/>
        </w:rPr>
        <w:t>设立</w:t>
      </w:r>
      <w:r>
        <w:rPr>
          <w:rFonts w:ascii="仿宋_GB2312" w:eastAsia="仿宋_GB2312" w:hint="eastAsia"/>
          <w:color w:val="0D0D0D"/>
          <w:sz w:val="32"/>
          <w:szCs w:val="32"/>
        </w:rPr>
        <w:t>商业保理公司</w:t>
      </w:r>
      <w:r>
        <w:rPr>
          <w:rFonts w:ascii="仿宋_GB2312" w:eastAsia="仿宋_GB2312" w:hint="eastAsia"/>
          <w:color w:val="0D0D0D"/>
          <w:sz w:val="32"/>
          <w:szCs w:val="32"/>
          <w:lang w:eastAsia="zh-Hans"/>
        </w:rPr>
        <w:t>或从事</w:t>
      </w:r>
      <w:r>
        <w:rPr>
          <w:rFonts w:ascii="仿宋_GB2312" w:eastAsia="仿宋_GB2312" w:hint="eastAsia"/>
          <w:color w:val="0D0D0D"/>
          <w:sz w:val="32"/>
          <w:szCs w:val="32"/>
        </w:rPr>
        <w:t>商业保理业务</w:t>
      </w:r>
      <w:r>
        <w:rPr>
          <w:rFonts w:ascii="仿宋_GB2312" w:eastAsia="仿宋_GB2312"/>
          <w:color w:val="0D0D0D"/>
          <w:sz w:val="32"/>
          <w:szCs w:val="32"/>
        </w:rPr>
        <w:t>。</w:t>
      </w:r>
    </w:p>
    <w:p w14:paraId="56165FAE" w14:textId="77777777" w:rsidR="00EE6E9D" w:rsidRDefault="003F4194">
      <w:pPr>
        <w:spacing w:line="560" w:lineRule="exact"/>
        <w:ind w:firstLineChars="200" w:firstLine="640"/>
      </w:pPr>
      <w:r>
        <w:rPr>
          <w:rFonts w:ascii="仿宋_GB2312" w:eastAsia="仿宋_GB2312" w:hAnsi="仿宋" w:hint="eastAsia"/>
          <w:sz w:val="32"/>
          <w:szCs w:val="32"/>
          <w:lang w:eastAsia="zh-Hans"/>
        </w:rPr>
        <w:t>申请设立</w:t>
      </w:r>
      <w:r>
        <w:rPr>
          <w:rFonts w:ascii="仿宋_GB2312" w:eastAsia="仿宋_GB2312" w:hAnsi="仿宋" w:hint="eastAsia"/>
          <w:sz w:val="32"/>
          <w:szCs w:val="32"/>
        </w:rPr>
        <w:t>商业保理公司名称中应当标明“商业保理”字样。</w:t>
      </w:r>
      <w:r>
        <w:rPr>
          <w:rFonts w:ascii="仿宋_GB2312" w:eastAsia="仿宋_GB2312" w:hint="eastAsia"/>
          <w:color w:val="0D0D0D"/>
          <w:sz w:val="32"/>
          <w:szCs w:val="32"/>
          <w:lang w:eastAsia="zh-Hans"/>
        </w:rPr>
        <w:t>未经登记</w:t>
      </w:r>
      <w:r>
        <w:rPr>
          <w:rFonts w:ascii="仿宋_GB2312" w:eastAsia="仿宋_GB2312" w:hint="eastAsia"/>
          <w:color w:val="0D0D0D"/>
          <w:sz w:val="32"/>
          <w:szCs w:val="32"/>
        </w:rPr>
        <w:t>不得在名称和经营范围中使用</w:t>
      </w:r>
      <w:r>
        <w:rPr>
          <w:rFonts w:ascii="仿宋_GB2312" w:eastAsia="仿宋_GB2312" w:hint="eastAsia"/>
          <w:color w:val="0D0D0D"/>
          <w:sz w:val="32"/>
          <w:szCs w:val="32"/>
          <w:lang w:eastAsia="zh-Hans"/>
        </w:rPr>
        <w:t>“</w:t>
      </w:r>
      <w:r>
        <w:rPr>
          <w:rFonts w:ascii="仿宋_GB2312" w:eastAsia="仿宋_GB2312" w:hint="eastAsia"/>
          <w:color w:val="0D0D0D"/>
          <w:sz w:val="32"/>
          <w:szCs w:val="32"/>
        </w:rPr>
        <w:t>商业保理</w:t>
      </w:r>
      <w:r>
        <w:rPr>
          <w:rFonts w:ascii="仿宋_GB2312" w:eastAsia="仿宋_GB2312" w:hint="eastAsia"/>
          <w:color w:val="0D0D0D"/>
          <w:sz w:val="32"/>
          <w:szCs w:val="32"/>
          <w:lang w:eastAsia="zh-Hans"/>
        </w:rPr>
        <w:t>”等显示</w:t>
      </w:r>
      <w:r>
        <w:rPr>
          <w:rFonts w:ascii="仿宋_GB2312" w:eastAsia="仿宋_GB2312" w:hint="eastAsia"/>
          <w:color w:val="0D0D0D"/>
          <w:sz w:val="32"/>
          <w:szCs w:val="32"/>
        </w:rPr>
        <w:t>商业保理</w:t>
      </w:r>
      <w:r>
        <w:rPr>
          <w:rFonts w:ascii="仿宋_GB2312" w:eastAsia="仿宋_GB2312" w:hint="eastAsia"/>
          <w:color w:val="0D0D0D"/>
          <w:sz w:val="32"/>
          <w:szCs w:val="32"/>
          <w:lang w:eastAsia="zh-Hans"/>
        </w:rPr>
        <w:t>业务活动特征的</w:t>
      </w:r>
      <w:r>
        <w:rPr>
          <w:rFonts w:ascii="仿宋_GB2312" w:eastAsia="仿宋_GB2312" w:hint="eastAsia"/>
          <w:color w:val="0D0D0D"/>
          <w:sz w:val="32"/>
          <w:szCs w:val="32"/>
        </w:rPr>
        <w:t>字样。</w:t>
      </w:r>
      <w:r>
        <w:rPr>
          <w:rStyle w:val="NormalCharacter"/>
          <w:rFonts w:ascii="仿宋_GB2312" w:eastAsia="仿宋_GB2312" w:hint="eastAsia"/>
          <w:color w:val="000000"/>
          <w:sz w:val="32"/>
          <w:szCs w:val="32"/>
        </w:rPr>
        <w:t>国家另有规定的除外。</w:t>
      </w:r>
    </w:p>
    <w:p w14:paraId="3361894D"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第六条</w:t>
      </w:r>
      <w:r>
        <w:rPr>
          <w:rFonts w:ascii="仿宋_GB2312" w:eastAsia="仿宋_GB2312" w:hAnsi="仿宋"/>
          <w:sz w:val="32"/>
          <w:szCs w:val="32"/>
        </w:rPr>
        <w:t xml:space="preserve"> </w:t>
      </w:r>
      <w:r>
        <w:rPr>
          <w:rFonts w:ascii="仿宋_GB2312" w:eastAsia="仿宋_GB2312" w:hAnsi="仿宋" w:hint="eastAsia"/>
          <w:sz w:val="32"/>
          <w:szCs w:val="32"/>
        </w:rPr>
        <w:t>新设立商业保理公司，应当</w:t>
      </w:r>
      <w:r>
        <w:rPr>
          <w:rStyle w:val="NormalCharacter"/>
          <w:rFonts w:ascii="仿宋_GB2312" w:eastAsia="仿宋_GB2312" w:hint="eastAsia"/>
          <w:color w:val="000000"/>
          <w:sz w:val="32"/>
          <w:szCs w:val="32"/>
        </w:rPr>
        <w:t>符合《中华人民共和国公司法》的规定并</w:t>
      </w:r>
      <w:r>
        <w:rPr>
          <w:rFonts w:ascii="仿宋_GB2312" w:eastAsia="仿宋_GB2312" w:hAnsi="仿宋" w:hint="eastAsia"/>
          <w:sz w:val="32"/>
          <w:szCs w:val="32"/>
        </w:rPr>
        <w:t>具备下列条件：</w:t>
      </w:r>
    </w:p>
    <w:p w14:paraId="3FDD28D0"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（一</w:t>
      </w:r>
      <w:r>
        <w:rPr>
          <w:rFonts w:ascii="仿宋_GB2312" w:eastAsia="仿宋_GB2312"/>
          <w:color w:val="0D0D0D"/>
          <w:sz w:val="32"/>
          <w:szCs w:val="32"/>
        </w:rPr>
        <w:t>）</w:t>
      </w:r>
      <w:r>
        <w:rPr>
          <w:rFonts w:ascii="仿宋_GB2312" w:eastAsia="仿宋_GB2312" w:hint="eastAsia"/>
          <w:color w:val="0D0D0D"/>
          <w:sz w:val="32"/>
          <w:szCs w:val="32"/>
        </w:rPr>
        <w:t>具备符合条件的股东；</w:t>
      </w:r>
    </w:p>
    <w:p w14:paraId="2273853D" w14:textId="77777777" w:rsidR="00EE6E9D" w:rsidRDefault="003F4194">
      <w:pPr>
        <w:widowControl/>
        <w:spacing w:line="560" w:lineRule="exact"/>
        <w:ind w:firstLineChars="200" w:firstLine="640"/>
        <w:rPr>
          <w:rFonts w:ascii="仿宋_GB2312"/>
          <w:color w:val="0D0D0D"/>
          <w:sz w:val="32"/>
          <w:szCs w:val="32"/>
        </w:rPr>
      </w:pPr>
      <w:r>
        <w:rPr>
          <w:rFonts w:ascii="仿宋_GB2312" w:eastAsia="仿宋_GB2312" w:hint="eastAsia"/>
          <w:color w:val="0D0D0D"/>
          <w:sz w:val="32"/>
          <w:szCs w:val="32"/>
        </w:rPr>
        <w:t>（二</w:t>
      </w:r>
      <w:r>
        <w:rPr>
          <w:rFonts w:ascii="仿宋_GB2312" w:eastAsia="仿宋_GB2312"/>
          <w:color w:val="0D0D0D"/>
          <w:sz w:val="32"/>
          <w:szCs w:val="32"/>
        </w:rPr>
        <w:t>）</w:t>
      </w:r>
      <w:r>
        <w:rPr>
          <w:rFonts w:ascii="仿宋_GB2312" w:eastAsia="仿宋_GB2312" w:hint="eastAsia"/>
          <w:color w:val="0D0D0D"/>
          <w:sz w:val="32"/>
          <w:szCs w:val="32"/>
        </w:rPr>
        <w:t>注册资本不低于1亿元</w:t>
      </w:r>
      <w:r>
        <w:rPr>
          <w:rFonts w:ascii="仿宋_GB2312" w:eastAsia="仿宋_GB2312"/>
          <w:color w:val="0D0D0D"/>
          <w:sz w:val="32"/>
          <w:szCs w:val="32"/>
        </w:rPr>
        <w:t>人民币或等值自由兑换货币</w:t>
      </w:r>
      <w:r>
        <w:rPr>
          <w:rFonts w:ascii="仿宋_GB2312" w:eastAsia="仿宋_GB2312" w:hint="eastAsia"/>
          <w:color w:val="0D0D0D"/>
          <w:sz w:val="32"/>
          <w:szCs w:val="32"/>
        </w:rPr>
        <w:t>，</w:t>
      </w:r>
      <w:r>
        <w:rPr>
          <w:rFonts w:ascii="仿宋_GB2312" w:eastAsia="仿宋_GB2312" w:hint="eastAsia"/>
          <w:sz w:val="32"/>
          <w:szCs w:val="32"/>
        </w:rPr>
        <w:t>且为一次性实缴货币资本；</w:t>
      </w:r>
    </w:p>
    <w:p w14:paraId="44CB2830"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（三）具备</w:t>
      </w:r>
      <w:r>
        <w:rPr>
          <w:rFonts w:ascii="仿宋_GB2312" w:eastAsia="仿宋_GB2312" w:hint="eastAsia"/>
          <w:sz w:val="32"/>
          <w:szCs w:val="32"/>
        </w:rPr>
        <w:t>符合任职资格条件</w:t>
      </w:r>
      <w:r>
        <w:rPr>
          <w:rFonts w:ascii="仿宋_GB2312" w:eastAsia="仿宋_GB2312" w:hint="eastAsia"/>
          <w:color w:val="0D0D0D"/>
          <w:sz w:val="32"/>
          <w:szCs w:val="32"/>
        </w:rPr>
        <w:t>的</w:t>
      </w:r>
      <w:r>
        <w:rPr>
          <w:rFonts w:ascii="仿宋_GB2312" w:eastAsia="仿宋_GB2312"/>
          <w:color w:val="0D0D0D"/>
          <w:sz w:val="32"/>
          <w:szCs w:val="32"/>
        </w:rPr>
        <w:t>董事、监事、高级管理人员</w:t>
      </w:r>
      <w:r>
        <w:rPr>
          <w:rFonts w:ascii="仿宋_GB2312" w:eastAsia="仿宋_GB2312" w:hint="eastAsia"/>
          <w:color w:val="0D0D0D"/>
          <w:sz w:val="32"/>
          <w:szCs w:val="32"/>
        </w:rPr>
        <w:t>；</w:t>
      </w:r>
    </w:p>
    <w:p w14:paraId="40D187AA"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（四</w:t>
      </w:r>
      <w:r>
        <w:rPr>
          <w:rFonts w:ascii="仿宋_GB2312" w:eastAsia="仿宋_GB2312"/>
          <w:color w:val="0D0D0D"/>
          <w:sz w:val="32"/>
          <w:szCs w:val="32"/>
        </w:rPr>
        <w:t>）</w:t>
      </w:r>
      <w:r>
        <w:rPr>
          <w:rStyle w:val="NormalCharacter"/>
          <w:rFonts w:ascii="仿宋_GB2312" w:eastAsia="仿宋_GB2312" w:hint="eastAsia"/>
          <w:color w:val="000000"/>
          <w:sz w:val="32"/>
          <w:szCs w:val="32"/>
        </w:rPr>
        <w:t>有健全的公司治理、业务规范和风险控制等管理制度</w:t>
      </w:r>
      <w:r>
        <w:rPr>
          <w:rFonts w:ascii="仿宋_GB2312" w:eastAsia="仿宋_GB2312"/>
          <w:color w:val="0D0D0D"/>
          <w:sz w:val="32"/>
          <w:szCs w:val="32"/>
        </w:rPr>
        <w:t>；</w:t>
      </w:r>
    </w:p>
    <w:p w14:paraId="414E5083"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（五</w:t>
      </w:r>
      <w:r>
        <w:rPr>
          <w:rFonts w:ascii="仿宋_GB2312" w:eastAsia="仿宋_GB2312"/>
          <w:color w:val="0D0D0D"/>
          <w:sz w:val="32"/>
          <w:szCs w:val="32"/>
        </w:rPr>
        <w:t>）</w:t>
      </w:r>
      <w:r>
        <w:rPr>
          <w:rStyle w:val="NormalCharacter"/>
          <w:rFonts w:ascii="仿宋_GB2312" w:eastAsia="仿宋_GB2312" w:hint="eastAsia"/>
          <w:color w:val="000000"/>
          <w:sz w:val="32"/>
          <w:szCs w:val="32"/>
        </w:rPr>
        <w:t>有符合业务开展要求的营业场所</w:t>
      </w:r>
      <w:r>
        <w:rPr>
          <w:rFonts w:ascii="仿宋_GB2312" w:eastAsia="仿宋_GB2312" w:hint="eastAsia"/>
          <w:color w:val="0D0D0D"/>
          <w:sz w:val="32"/>
          <w:szCs w:val="32"/>
        </w:rPr>
        <w:t>；</w:t>
      </w:r>
    </w:p>
    <w:p w14:paraId="74737D90"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（六）</w:t>
      </w:r>
      <w:r>
        <w:rPr>
          <w:rStyle w:val="NormalCharacter"/>
          <w:rFonts w:ascii="仿宋_GB2312" w:eastAsia="仿宋_GB2312" w:hint="eastAsia"/>
          <w:color w:val="000000"/>
          <w:sz w:val="32"/>
          <w:szCs w:val="32"/>
        </w:rPr>
        <w:t>符合法律、法规和国家规定的其他条件</w:t>
      </w:r>
      <w:r>
        <w:rPr>
          <w:rFonts w:ascii="仿宋_GB2312" w:eastAsia="仿宋_GB2312" w:hint="eastAsia"/>
          <w:color w:val="0D0D0D"/>
          <w:sz w:val="32"/>
          <w:szCs w:val="32"/>
        </w:rPr>
        <w:t>。</w:t>
      </w:r>
    </w:p>
    <w:p w14:paraId="0DA50490" w14:textId="77777777" w:rsidR="00EE6E9D" w:rsidRDefault="003F4194">
      <w:pPr>
        <w:widowControl/>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第七条</w:t>
      </w:r>
      <w:r>
        <w:rPr>
          <w:rFonts w:ascii="仿宋_GB2312" w:eastAsia="仿宋_GB2312" w:hint="eastAsia"/>
          <w:color w:val="0D0D0D"/>
          <w:sz w:val="32"/>
          <w:szCs w:val="32"/>
        </w:rPr>
        <w:t xml:space="preserve"> 商业保理</w:t>
      </w:r>
      <w:r>
        <w:rPr>
          <w:rFonts w:ascii="仿宋_GB2312" w:eastAsia="仿宋_GB2312"/>
          <w:color w:val="0D0D0D"/>
          <w:sz w:val="32"/>
          <w:szCs w:val="32"/>
        </w:rPr>
        <w:t>公司</w:t>
      </w:r>
      <w:r>
        <w:rPr>
          <w:rFonts w:ascii="仿宋_GB2312" w:eastAsia="仿宋_GB2312" w:hint="eastAsia"/>
          <w:color w:val="0D0D0D"/>
          <w:sz w:val="32"/>
          <w:szCs w:val="32"/>
        </w:rPr>
        <w:t>的</w:t>
      </w:r>
      <w:r>
        <w:rPr>
          <w:rFonts w:ascii="仿宋_GB2312" w:eastAsia="仿宋_GB2312"/>
          <w:color w:val="0D0D0D"/>
          <w:sz w:val="32"/>
          <w:szCs w:val="32"/>
        </w:rPr>
        <w:t>股东应当为企业法人，且符合以下条件：</w:t>
      </w:r>
    </w:p>
    <w:p w14:paraId="0EACB68C"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（一</w:t>
      </w:r>
      <w:r>
        <w:rPr>
          <w:rFonts w:ascii="仿宋_GB2312" w:eastAsia="仿宋_GB2312"/>
          <w:color w:val="0D0D0D"/>
          <w:sz w:val="32"/>
          <w:szCs w:val="32"/>
        </w:rPr>
        <w:t>）</w:t>
      </w:r>
      <w:r>
        <w:rPr>
          <w:rFonts w:ascii="仿宋_GB2312" w:eastAsia="仿宋_GB2312" w:hint="eastAsia"/>
          <w:color w:val="0D0D0D"/>
          <w:sz w:val="32"/>
          <w:szCs w:val="32"/>
        </w:rPr>
        <w:t>依法登记注册并存续；</w:t>
      </w:r>
    </w:p>
    <w:p w14:paraId="12E3CF1C"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（二）财务</w:t>
      </w:r>
      <w:r>
        <w:rPr>
          <w:rFonts w:ascii="仿宋_GB2312" w:eastAsia="仿宋_GB2312"/>
          <w:color w:val="0D0D0D"/>
          <w:sz w:val="32"/>
          <w:szCs w:val="32"/>
        </w:rPr>
        <w:t>状况良好</w:t>
      </w:r>
      <w:r>
        <w:rPr>
          <w:rFonts w:ascii="仿宋_GB2312" w:eastAsia="仿宋_GB2312" w:hint="eastAsia"/>
          <w:color w:val="0D0D0D"/>
          <w:sz w:val="32"/>
          <w:szCs w:val="32"/>
        </w:rPr>
        <w:t>，新增股东</w:t>
      </w:r>
      <w:r>
        <w:rPr>
          <w:rFonts w:ascii="仿宋_GB2312" w:eastAsia="仿宋_GB2312"/>
          <w:color w:val="0D0D0D"/>
          <w:sz w:val="32"/>
          <w:szCs w:val="32"/>
        </w:rPr>
        <w:t>最近</w:t>
      </w:r>
      <w:r>
        <w:rPr>
          <w:rFonts w:ascii="仿宋_GB2312" w:eastAsia="仿宋_GB2312" w:hint="eastAsia"/>
          <w:color w:val="0D0D0D"/>
          <w:sz w:val="32"/>
          <w:szCs w:val="32"/>
        </w:rPr>
        <w:t>2个</w:t>
      </w:r>
      <w:r>
        <w:rPr>
          <w:rFonts w:ascii="仿宋_GB2312" w:eastAsia="仿宋_GB2312"/>
          <w:color w:val="0D0D0D"/>
          <w:sz w:val="32"/>
          <w:szCs w:val="32"/>
        </w:rPr>
        <w:t>会计年度连续盈利</w:t>
      </w:r>
      <w:r>
        <w:rPr>
          <w:rFonts w:ascii="仿宋_GB2312" w:eastAsia="仿宋_GB2312" w:hint="eastAsia"/>
          <w:color w:val="0D0D0D"/>
          <w:sz w:val="32"/>
          <w:szCs w:val="32"/>
        </w:rPr>
        <w:t>，最近1年</w:t>
      </w:r>
      <w:r>
        <w:rPr>
          <w:rFonts w:ascii="仿宋_GB2312" w:eastAsia="仿宋_GB2312"/>
          <w:color w:val="0D0D0D"/>
          <w:sz w:val="32"/>
          <w:szCs w:val="32"/>
        </w:rPr>
        <w:t>年末净资产不低于</w:t>
      </w:r>
      <w:r>
        <w:rPr>
          <w:rFonts w:ascii="仿宋_GB2312" w:eastAsia="仿宋_GB2312" w:hint="eastAsia"/>
          <w:color w:val="0D0D0D"/>
          <w:sz w:val="32"/>
          <w:szCs w:val="32"/>
        </w:rPr>
        <w:t>出资额的2倍；</w:t>
      </w:r>
    </w:p>
    <w:p w14:paraId="488D2C21"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lastRenderedPageBreak/>
        <w:t>（三）入股资金为自有资金，不得以债务资金或委托资金等非自有资金出资；</w:t>
      </w:r>
    </w:p>
    <w:p w14:paraId="6AE2C859"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（四）</w:t>
      </w:r>
      <w:r>
        <w:rPr>
          <w:rFonts w:ascii="仿宋_GB2312" w:eastAsia="仿宋_GB2312" w:hAnsi="仿宋_GB2312" w:cs="仿宋_GB2312" w:hint="eastAsia"/>
          <w:color w:val="0D0D0D"/>
          <w:sz w:val="32"/>
          <w:szCs w:val="32"/>
        </w:rPr>
        <w:t>主要股东或其关联主体具备贸易融资、</w:t>
      </w:r>
      <w:r>
        <w:rPr>
          <w:rFonts w:ascii="仿宋_GB2312" w:eastAsia="仿宋_GB2312" w:hAnsi="仿宋_GB2312" w:cs="仿宋_GB2312" w:hint="eastAsia"/>
          <w:kern w:val="0"/>
          <w:sz w:val="32"/>
          <w:szCs w:val="32"/>
          <w:lang w:bidi="ar"/>
        </w:rPr>
        <w:t>产业金融或</w:t>
      </w:r>
      <w:r>
        <w:rPr>
          <w:rFonts w:ascii="仿宋_GB2312" w:eastAsia="仿宋_GB2312" w:hAnsi="仿宋_GB2312" w:cs="仿宋_GB2312" w:hint="eastAsia"/>
          <w:color w:val="0D0D0D"/>
          <w:sz w:val="32"/>
          <w:szCs w:val="32"/>
        </w:rPr>
        <w:t>供应链管理等相关行业背景；</w:t>
      </w:r>
    </w:p>
    <w:p w14:paraId="192D00C9" w14:textId="77777777" w:rsidR="00EE6E9D" w:rsidRDefault="003F4194">
      <w:pPr>
        <w:widowControl/>
        <w:spacing w:line="560" w:lineRule="exact"/>
        <w:ind w:firstLineChars="200" w:firstLine="640"/>
        <w:rPr>
          <w:rStyle w:val="NormalCharacter"/>
          <w:rFonts w:ascii="仿宋_GB2312" w:eastAsia="仿宋_GB2312"/>
          <w:color w:val="000000"/>
          <w:sz w:val="32"/>
          <w:szCs w:val="32"/>
        </w:rPr>
      </w:pPr>
      <w:r>
        <w:rPr>
          <w:rStyle w:val="NormalCharacter"/>
          <w:rFonts w:ascii="仿宋_GB2312" w:eastAsia="仿宋_GB2312" w:hint="eastAsia"/>
          <w:color w:val="000000"/>
          <w:sz w:val="32"/>
          <w:szCs w:val="32"/>
        </w:rPr>
        <w:t>（五）信誉良好,最近3年无重大违法违规记录和严重不良信用记录；</w:t>
      </w:r>
    </w:p>
    <w:p w14:paraId="6E83DBA2" w14:textId="77777777" w:rsidR="00EE6E9D" w:rsidRDefault="003F4194">
      <w:pPr>
        <w:widowControl/>
        <w:spacing w:line="560" w:lineRule="exact"/>
        <w:ind w:firstLineChars="200" w:firstLine="640"/>
        <w:rPr>
          <w:rFonts w:ascii="仿宋_GB2312" w:eastAsia="仿宋_GB2312"/>
          <w:color w:val="0D0D0D"/>
          <w:sz w:val="32"/>
          <w:szCs w:val="32"/>
        </w:rPr>
      </w:pPr>
      <w:r>
        <w:rPr>
          <w:rStyle w:val="NormalCharacter"/>
          <w:rFonts w:ascii="仿宋_GB2312" w:eastAsia="仿宋_GB2312" w:hint="eastAsia"/>
          <w:color w:val="000000"/>
          <w:sz w:val="32"/>
          <w:szCs w:val="32"/>
        </w:rPr>
        <w:t>（六）</w:t>
      </w:r>
      <w:r>
        <w:rPr>
          <w:rFonts w:ascii="仿宋_GB2312" w:eastAsia="仿宋_GB2312" w:hint="eastAsia"/>
          <w:color w:val="0D0D0D"/>
          <w:sz w:val="32"/>
          <w:szCs w:val="32"/>
        </w:rPr>
        <w:t>具有</w:t>
      </w:r>
      <w:r>
        <w:rPr>
          <w:rFonts w:ascii="仿宋_GB2312" w:eastAsia="仿宋_GB2312"/>
          <w:color w:val="0D0D0D"/>
          <w:sz w:val="32"/>
          <w:szCs w:val="32"/>
        </w:rPr>
        <w:t>良好的公司治理结构或有效的组织管理方式；</w:t>
      </w:r>
    </w:p>
    <w:p w14:paraId="538DD408"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（七</w:t>
      </w:r>
      <w:r>
        <w:rPr>
          <w:rFonts w:ascii="仿宋_GB2312" w:eastAsia="仿宋_GB2312"/>
          <w:color w:val="0D0D0D"/>
          <w:sz w:val="32"/>
          <w:szCs w:val="32"/>
        </w:rPr>
        <w:t>）</w:t>
      </w:r>
      <w:r>
        <w:rPr>
          <w:rFonts w:ascii="仿宋_GB2312" w:eastAsia="仿宋_GB2312" w:hint="eastAsia"/>
          <w:color w:val="0D0D0D"/>
          <w:sz w:val="32"/>
          <w:szCs w:val="32"/>
        </w:rPr>
        <w:t>承诺3年</w:t>
      </w:r>
      <w:r>
        <w:rPr>
          <w:rFonts w:ascii="仿宋_GB2312" w:eastAsia="仿宋_GB2312"/>
          <w:color w:val="0D0D0D"/>
          <w:sz w:val="32"/>
          <w:szCs w:val="32"/>
        </w:rPr>
        <w:t>内不转让所持有的股权，</w:t>
      </w:r>
      <w:r>
        <w:rPr>
          <w:rFonts w:ascii="仿宋_GB2312" w:eastAsia="仿宋_GB2312" w:hint="eastAsia"/>
          <w:color w:val="0D0D0D"/>
          <w:sz w:val="32"/>
          <w:szCs w:val="32"/>
        </w:rPr>
        <w:t>承诺3年内</w:t>
      </w:r>
      <w:r>
        <w:rPr>
          <w:rFonts w:ascii="仿宋_GB2312" w:eastAsia="仿宋_GB2312"/>
          <w:color w:val="0D0D0D"/>
          <w:sz w:val="32"/>
          <w:szCs w:val="32"/>
        </w:rPr>
        <w:t>不将所持有的股权进行质押或设立信托，</w:t>
      </w:r>
      <w:r>
        <w:rPr>
          <w:rFonts w:ascii="仿宋_GB2312" w:eastAsia="仿宋_GB2312" w:hint="eastAsia"/>
          <w:color w:val="0D0D0D"/>
          <w:sz w:val="32"/>
          <w:szCs w:val="32"/>
        </w:rPr>
        <w:t>并</w:t>
      </w:r>
      <w:r>
        <w:rPr>
          <w:rFonts w:ascii="仿宋_GB2312" w:eastAsia="仿宋_GB2312"/>
          <w:color w:val="0D0D0D"/>
          <w:sz w:val="32"/>
          <w:szCs w:val="32"/>
        </w:rPr>
        <w:t>在公司章程中载明</w:t>
      </w:r>
      <w:r>
        <w:rPr>
          <w:rFonts w:ascii="仿宋_GB2312" w:eastAsia="仿宋_GB2312" w:hint="eastAsia"/>
          <w:color w:val="0D0D0D"/>
          <w:sz w:val="32"/>
          <w:szCs w:val="32"/>
        </w:rPr>
        <w:t>。</w:t>
      </w:r>
    </w:p>
    <w:p w14:paraId="030C0C41" w14:textId="77777777" w:rsidR="00EE6E9D" w:rsidRDefault="003F4194">
      <w:pPr>
        <w:widowControl/>
        <w:spacing w:line="560" w:lineRule="exact"/>
        <w:ind w:firstLineChars="200" w:firstLine="643"/>
        <w:rPr>
          <w:rFonts w:ascii="仿宋_GB2312" w:eastAsia="仿宋_GB2312"/>
          <w:sz w:val="32"/>
          <w:szCs w:val="32"/>
        </w:rPr>
      </w:pPr>
      <w:r>
        <w:rPr>
          <w:rFonts w:ascii="仿宋_GB2312" w:eastAsia="仿宋_GB2312" w:hAnsi="仿宋" w:hint="eastAsia"/>
          <w:b/>
          <w:bCs/>
          <w:sz w:val="32"/>
          <w:szCs w:val="32"/>
        </w:rPr>
        <w:t>第八条</w:t>
      </w:r>
      <w:r>
        <w:rPr>
          <w:rFonts w:ascii="仿宋_GB2312" w:eastAsia="仿宋_GB2312" w:hint="eastAsia"/>
          <w:color w:val="0D0D0D"/>
          <w:sz w:val="32"/>
          <w:szCs w:val="32"/>
        </w:rPr>
        <w:t xml:space="preserve"> </w:t>
      </w:r>
      <w:r>
        <w:rPr>
          <w:rFonts w:ascii="仿宋_GB2312" w:eastAsia="仿宋_GB2312" w:hint="eastAsia"/>
          <w:sz w:val="32"/>
          <w:szCs w:val="32"/>
        </w:rPr>
        <w:t>商业保理公司拟任董事、监事和高级管理人员需具备下列条件：</w:t>
      </w:r>
    </w:p>
    <w:p w14:paraId="003EC8D3" w14:textId="77777777" w:rsidR="00EE6E9D" w:rsidRDefault="003F4194">
      <w:pPr>
        <w:widowControl/>
        <w:numPr>
          <w:ilvl w:val="0"/>
          <w:numId w:val="1"/>
        </w:numPr>
        <w:adjustRightInd w:val="0"/>
        <w:snapToGrid w:val="0"/>
        <w:spacing w:line="560" w:lineRule="exact"/>
        <w:ind w:firstLineChars="200" w:firstLine="640"/>
        <w:rPr>
          <w:rFonts w:ascii="仿宋_GB2312" w:eastAsia="仿宋_GB2312"/>
          <w:color w:val="0D0D0D"/>
          <w:sz w:val="32"/>
          <w:szCs w:val="32"/>
        </w:rPr>
      </w:pPr>
      <w:r>
        <w:rPr>
          <w:rFonts w:ascii="仿宋_GB2312" w:eastAsia="仿宋_GB2312" w:hint="eastAsia"/>
          <w:sz w:val="32"/>
          <w:szCs w:val="32"/>
        </w:rPr>
        <w:t>熟悉与商业保理业务相关的法律法规；</w:t>
      </w:r>
    </w:p>
    <w:p w14:paraId="03AAE468" w14:textId="77777777" w:rsidR="00EE6E9D" w:rsidRDefault="003F4194">
      <w:pPr>
        <w:widowControl/>
        <w:numPr>
          <w:ilvl w:val="0"/>
          <w:numId w:val="1"/>
        </w:numPr>
        <w:adjustRightInd w:val="0"/>
        <w:snapToGrid w:val="0"/>
        <w:spacing w:line="560" w:lineRule="exact"/>
        <w:ind w:firstLineChars="200" w:firstLine="640"/>
        <w:rPr>
          <w:rFonts w:ascii="仿宋_GB2312" w:eastAsia="仿宋_GB2312"/>
          <w:color w:val="0D0D0D"/>
          <w:sz w:val="32"/>
          <w:szCs w:val="32"/>
        </w:rPr>
      </w:pPr>
      <w:r>
        <w:rPr>
          <w:rFonts w:ascii="仿宋_GB2312" w:eastAsia="仿宋_GB2312" w:hint="eastAsia"/>
          <w:sz w:val="32"/>
          <w:szCs w:val="32"/>
        </w:rPr>
        <w:t>具有履行职责所需的从业经验和管理能力，应具有本科以上学历，从事金融工作3年以上，或从事相关经济管理工作5年以上；</w:t>
      </w:r>
    </w:p>
    <w:p w14:paraId="4E091229" w14:textId="0316D462" w:rsidR="00EE6E9D" w:rsidRDefault="003F4194">
      <w:pPr>
        <w:widowControl/>
        <w:numPr>
          <w:ilvl w:val="0"/>
          <w:numId w:val="1"/>
        </w:numPr>
        <w:spacing w:line="560" w:lineRule="exact"/>
        <w:ind w:firstLineChars="200" w:firstLine="640"/>
        <w:rPr>
          <w:rFonts w:ascii="仿宋_GB2312" w:eastAsia="仿宋_GB2312"/>
          <w:sz w:val="32"/>
          <w:szCs w:val="32"/>
        </w:rPr>
      </w:pPr>
      <w:r>
        <w:rPr>
          <w:rFonts w:ascii="仿宋_GB2312" w:eastAsia="仿宋_GB2312" w:hint="eastAsia"/>
          <w:color w:val="0D0D0D"/>
          <w:sz w:val="32"/>
          <w:szCs w:val="32"/>
        </w:rPr>
        <w:t>信誉良好，</w:t>
      </w:r>
      <w:r>
        <w:rPr>
          <w:rFonts w:ascii="仿宋_GB2312" w:eastAsia="仿宋_GB2312" w:hint="eastAsia"/>
          <w:sz w:val="32"/>
          <w:szCs w:val="32"/>
        </w:rPr>
        <w:t>最近3年无重大违法违规</w:t>
      </w:r>
      <w:r w:rsidR="001F1E65">
        <w:rPr>
          <w:rFonts w:ascii="仿宋_GB2312" w:eastAsia="仿宋_GB2312" w:hint="eastAsia"/>
          <w:sz w:val="32"/>
          <w:szCs w:val="32"/>
        </w:rPr>
        <w:t>记录</w:t>
      </w:r>
      <w:r>
        <w:rPr>
          <w:rFonts w:ascii="仿宋_GB2312" w:eastAsia="仿宋_GB2312" w:hint="eastAsia"/>
          <w:sz w:val="32"/>
          <w:szCs w:val="32"/>
        </w:rPr>
        <w:t>和严重不良信用记录。</w:t>
      </w:r>
    </w:p>
    <w:p w14:paraId="4D0A9B2D" w14:textId="77777777" w:rsidR="00EE6E9D" w:rsidRDefault="003F4194">
      <w:pPr>
        <w:widowControl/>
        <w:adjustRightInd w:val="0"/>
        <w:snapToGrid w:val="0"/>
        <w:spacing w:line="560" w:lineRule="exact"/>
        <w:ind w:firstLineChars="200" w:firstLine="643"/>
        <w:rPr>
          <w:rFonts w:ascii="仿宋_GB2312" w:eastAsia="仿宋_GB2312"/>
          <w:sz w:val="32"/>
          <w:szCs w:val="32"/>
        </w:rPr>
      </w:pPr>
      <w:r>
        <w:rPr>
          <w:rFonts w:ascii="仿宋_GB2312" w:eastAsia="仿宋_GB2312" w:hAnsi="仿宋" w:hint="eastAsia"/>
          <w:b/>
          <w:bCs/>
          <w:sz w:val="32"/>
          <w:szCs w:val="32"/>
        </w:rPr>
        <w:t>第九条</w:t>
      </w:r>
      <w:r>
        <w:rPr>
          <w:rFonts w:ascii="仿宋_GB2312" w:eastAsia="仿宋_GB2312" w:hint="eastAsia"/>
          <w:color w:val="0D0D0D"/>
          <w:sz w:val="32"/>
          <w:szCs w:val="32"/>
        </w:rPr>
        <w:t xml:space="preserve"> </w:t>
      </w:r>
      <w:r>
        <w:rPr>
          <w:rFonts w:ascii="仿宋_GB2312" w:eastAsia="仿宋_GB2312" w:hint="eastAsia"/>
          <w:sz w:val="32"/>
          <w:szCs w:val="32"/>
        </w:rPr>
        <w:t>拟任人未达到第八条规定的学历要求，但具备以下条件之一的，视同达到规定的学历：</w:t>
      </w:r>
    </w:p>
    <w:p w14:paraId="2AEFE22B" w14:textId="77777777" w:rsidR="00EE6E9D" w:rsidRDefault="003F4194">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（一）取得国家教育行政主管部门认可院校授予的学士以上学位；</w:t>
      </w:r>
    </w:p>
    <w:p w14:paraId="4FC456C6" w14:textId="77777777" w:rsidR="00EE6E9D" w:rsidRDefault="003F4194">
      <w:pPr>
        <w:spacing w:line="560" w:lineRule="exact"/>
        <w:ind w:firstLine="645"/>
        <w:rPr>
          <w:rFonts w:ascii="仿宋_GB2312" w:eastAsia="仿宋_GB2312"/>
          <w:color w:val="0D0D0D"/>
          <w:sz w:val="32"/>
          <w:szCs w:val="32"/>
        </w:rPr>
      </w:pPr>
      <w:r>
        <w:rPr>
          <w:rFonts w:ascii="仿宋_GB2312" w:eastAsia="仿宋_GB2312" w:hint="eastAsia"/>
          <w:sz w:val="32"/>
          <w:szCs w:val="32"/>
        </w:rPr>
        <w:t>（二）取得注册会计师、注册审计师或与拟（现）任职务相关的高级专业技术职务资格，且相关从业年限4年以上。</w:t>
      </w:r>
    </w:p>
    <w:p w14:paraId="3A41CAE3" w14:textId="77777777" w:rsidR="00EE6E9D" w:rsidRDefault="003F4194">
      <w:pPr>
        <w:spacing w:line="560" w:lineRule="exact"/>
        <w:ind w:firstLine="645"/>
        <w:rPr>
          <w:rStyle w:val="NormalCharacter"/>
          <w:rFonts w:ascii="仿宋_GB2312" w:eastAsia="仿宋_GB2312"/>
          <w:color w:val="000000"/>
          <w:sz w:val="32"/>
          <w:szCs w:val="32"/>
        </w:rPr>
      </w:pPr>
      <w:r>
        <w:rPr>
          <w:rStyle w:val="NormalCharacter"/>
          <w:rFonts w:ascii="仿宋_GB2312" w:eastAsia="仿宋_GB2312" w:hint="eastAsia"/>
          <w:b/>
          <w:bCs/>
          <w:color w:val="000000"/>
          <w:sz w:val="32"/>
          <w:szCs w:val="32"/>
        </w:rPr>
        <w:t>第十条</w:t>
      </w:r>
      <w:r>
        <w:rPr>
          <w:rStyle w:val="NormalCharacter"/>
          <w:rFonts w:ascii="仿宋_GB2312" w:eastAsia="仿宋_GB2312" w:hint="eastAsia"/>
          <w:color w:val="000000"/>
          <w:sz w:val="32"/>
          <w:szCs w:val="32"/>
        </w:rPr>
        <w:t xml:space="preserve"> 在本市申请设立商业保理公司，申请人应当向</w:t>
      </w:r>
      <w:r>
        <w:rPr>
          <w:rStyle w:val="NormalCharacter"/>
          <w:rFonts w:ascii="仿宋_GB2312" w:eastAsia="仿宋_GB2312" w:hint="eastAsia"/>
          <w:color w:val="000000"/>
          <w:sz w:val="32"/>
          <w:szCs w:val="32"/>
        </w:rPr>
        <w:lastRenderedPageBreak/>
        <w:t>拟设地的区金融工作部门提交申请材料，所提交申请材料应符合本办法规定条件。市金融监管局应当公示申请材料目录清单。</w:t>
      </w:r>
    </w:p>
    <w:p w14:paraId="091141F5" w14:textId="77777777" w:rsidR="00EE6E9D" w:rsidRDefault="003F4194">
      <w:pPr>
        <w:pStyle w:val="BlockQuote"/>
        <w:spacing w:line="360" w:lineRule="auto"/>
        <w:ind w:leftChars="-9" w:left="-19" w:rightChars="60" w:right="126" w:firstLineChars="207" w:firstLine="662"/>
      </w:pPr>
      <w:r>
        <w:rPr>
          <w:rStyle w:val="NormalCharacter"/>
          <w:rFonts w:ascii="仿宋_GB2312" w:eastAsia="仿宋_GB2312" w:hint="eastAsia"/>
          <w:color w:val="000000"/>
          <w:sz w:val="32"/>
          <w:szCs w:val="32"/>
        </w:rPr>
        <w:t>申请材料经</w:t>
      </w:r>
      <w:r>
        <w:rPr>
          <w:rFonts w:eastAsia="仿宋_GB2312" w:hAnsi="仿宋" w:cs="楷体" w:hint="eastAsia"/>
          <w:sz w:val="32"/>
          <w:szCs w:val="32"/>
        </w:rPr>
        <w:t>区金融工作部门出具属地监管责任意见后，由市金融监管局审核。市金融监管局应</w:t>
      </w:r>
      <w:r>
        <w:rPr>
          <w:rFonts w:eastAsia="仿宋_GB2312"/>
          <w:color w:val="0D0D0D"/>
          <w:sz w:val="32"/>
          <w:szCs w:val="32"/>
        </w:rPr>
        <w:t>作出批准或不予批准的</w:t>
      </w:r>
      <w:r>
        <w:rPr>
          <w:rFonts w:eastAsia="仿宋_GB2312" w:hint="eastAsia"/>
          <w:color w:val="0D0D0D"/>
          <w:sz w:val="32"/>
          <w:szCs w:val="32"/>
        </w:rPr>
        <w:t>书面</w:t>
      </w:r>
      <w:r>
        <w:rPr>
          <w:rFonts w:eastAsia="仿宋_GB2312"/>
          <w:color w:val="0D0D0D"/>
          <w:sz w:val="32"/>
          <w:szCs w:val="32"/>
        </w:rPr>
        <w:t>决定</w:t>
      </w:r>
      <w:r>
        <w:rPr>
          <w:rFonts w:eastAsia="仿宋_GB2312" w:hint="eastAsia"/>
          <w:color w:val="0D0D0D"/>
          <w:sz w:val="32"/>
          <w:szCs w:val="32"/>
        </w:rPr>
        <w:t>。决定作出前应进行现场核实。</w:t>
      </w:r>
    </w:p>
    <w:p w14:paraId="761BFF29" w14:textId="77777777" w:rsidR="00EE6E9D" w:rsidRDefault="003F4194">
      <w:pPr>
        <w:widowControl/>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第十一条</w:t>
      </w:r>
      <w:r>
        <w:rPr>
          <w:rFonts w:ascii="仿宋_GB2312" w:eastAsia="仿宋_GB2312" w:hint="eastAsia"/>
          <w:color w:val="0D0D0D"/>
          <w:sz w:val="32"/>
          <w:szCs w:val="32"/>
        </w:rPr>
        <w:t xml:space="preserve"> 在审查申请材料过程中，申请人有下列情形之一的，应当作出终止审查的决定，通知申请人：</w:t>
      </w:r>
    </w:p>
    <w:p w14:paraId="2B18B9B6"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（一）申请人主动要求撤回申请；</w:t>
      </w:r>
    </w:p>
    <w:p w14:paraId="6E9951A8"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（二）申请人依法终止；</w:t>
      </w:r>
    </w:p>
    <w:p w14:paraId="0ADE925F" w14:textId="77777777" w:rsidR="00EE6E9D" w:rsidRDefault="003F4194">
      <w:pPr>
        <w:widowControl/>
        <w:spacing w:line="560" w:lineRule="exact"/>
        <w:ind w:firstLineChars="200" w:firstLine="640"/>
        <w:rPr>
          <w:rFonts w:ascii="仿宋_GB2312" w:eastAsia="仿宋_GB2312" w:hAnsi="仿宋"/>
          <w:b/>
          <w:bCs/>
          <w:sz w:val="32"/>
          <w:szCs w:val="32"/>
        </w:rPr>
      </w:pPr>
      <w:r>
        <w:rPr>
          <w:rFonts w:ascii="仿宋_GB2312" w:eastAsia="仿宋_GB2312" w:hint="eastAsia"/>
          <w:color w:val="0D0D0D"/>
          <w:sz w:val="32"/>
          <w:szCs w:val="32"/>
        </w:rPr>
        <w:t>（三）其他法律法规规定的应当终止审查的情形。</w:t>
      </w:r>
    </w:p>
    <w:p w14:paraId="17A1EF33" w14:textId="77777777" w:rsidR="00EE6E9D" w:rsidRDefault="003F4194">
      <w:pPr>
        <w:widowControl/>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第十二条</w:t>
      </w:r>
      <w:r>
        <w:rPr>
          <w:rFonts w:ascii="仿宋_GB2312" w:eastAsia="仿宋_GB2312" w:hint="eastAsia"/>
          <w:color w:val="0D0D0D"/>
          <w:sz w:val="32"/>
          <w:szCs w:val="32"/>
        </w:rPr>
        <w:t xml:space="preserve"> 商业保理</w:t>
      </w:r>
      <w:r>
        <w:rPr>
          <w:rFonts w:ascii="仿宋_GB2312" w:eastAsia="仿宋_GB2312"/>
          <w:color w:val="0D0D0D"/>
          <w:sz w:val="32"/>
          <w:szCs w:val="32"/>
        </w:rPr>
        <w:t>公司</w:t>
      </w:r>
      <w:r>
        <w:rPr>
          <w:rFonts w:ascii="仿宋_GB2312" w:eastAsia="仿宋_GB2312" w:hint="eastAsia"/>
          <w:color w:val="0D0D0D"/>
          <w:sz w:val="32"/>
          <w:szCs w:val="32"/>
        </w:rPr>
        <w:t>下列事项应当经市金融监管局审批：</w:t>
      </w:r>
    </w:p>
    <w:p w14:paraId="3A624335"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（一）</w:t>
      </w:r>
      <w:r>
        <w:rPr>
          <w:rFonts w:ascii="仿宋_GB2312" w:eastAsia="仿宋_GB2312"/>
          <w:color w:val="0D0D0D"/>
          <w:sz w:val="32"/>
          <w:szCs w:val="32"/>
        </w:rPr>
        <w:t>合并、分立</w:t>
      </w:r>
      <w:r>
        <w:rPr>
          <w:rFonts w:ascii="仿宋_GB2312" w:eastAsia="仿宋_GB2312" w:hint="eastAsia"/>
          <w:color w:val="0D0D0D"/>
          <w:sz w:val="32"/>
          <w:szCs w:val="32"/>
        </w:rPr>
        <w:t>；</w:t>
      </w:r>
    </w:p>
    <w:p w14:paraId="66B90D43"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（二）变更</w:t>
      </w:r>
      <w:r>
        <w:rPr>
          <w:rFonts w:ascii="仿宋_GB2312" w:eastAsia="仿宋_GB2312"/>
          <w:color w:val="0D0D0D"/>
          <w:sz w:val="32"/>
          <w:szCs w:val="32"/>
        </w:rPr>
        <w:t>注册资本</w:t>
      </w:r>
      <w:r>
        <w:rPr>
          <w:rFonts w:ascii="仿宋_GB2312" w:eastAsia="仿宋_GB2312" w:hint="eastAsia"/>
          <w:color w:val="0D0D0D"/>
          <w:sz w:val="32"/>
          <w:szCs w:val="32"/>
        </w:rPr>
        <w:t>；</w:t>
      </w:r>
    </w:p>
    <w:p w14:paraId="643EA857"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（三）变更业务范围、营业区域等；</w:t>
      </w:r>
    </w:p>
    <w:p w14:paraId="52CD0C1D"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（四）变更持股5</w:t>
      </w:r>
      <w:r>
        <w:rPr>
          <w:rFonts w:ascii="仿宋_GB2312" w:eastAsia="仿宋_GB2312"/>
          <w:color w:val="0D0D0D"/>
          <w:sz w:val="32"/>
          <w:szCs w:val="32"/>
        </w:rPr>
        <w:t>%</w:t>
      </w:r>
      <w:r>
        <w:rPr>
          <w:rFonts w:ascii="仿宋_GB2312" w:eastAsia="仿宋_GB2312" w:hint="eastAsia"/>
          <w:color w:val="0D0D0D"/>
          <w:sz w:val="32"/>
          <w:szCs w:val="32"/>
        </w:rPr>
        <w:t>以上的</w:t>
      </w:r>
      <w:r>
        <w:rPr>
          <w:rFonts w:ascii="仿宋_GB2312" w:eastAsia="仿宋_GB2312"/>
          <w:color w:val="0D0D0D"/>
          <w:sz w:val="32"/>
          <w:szCs w:val="32"/>
        </w:rPr>
        <w:t>股东</w:t>
      </w:r>
      <w:r>
        <w:rPr>
          <w:rFonts w:ascii="仿宋_GB2312" w:eastAsia="仿宋_GB2312" w:hint="eastAsia"/>
          <w:color w:val="0D0D0D"/>
          <w:sz w:val="32"/>
          <w:szCs w:val="32"/>
        </w:rPr>
        <w:t>，</w:t>
      </w:r>
      <w:r>
        <w:rPr>
          <w:rFonts w:ascii="仿宋_GB2312" w:eastAsia="仿宋_GB2312"/>
          <w:color w:val="0D0D0D"/>
          <w:sz w:val="32"/>
          <w:szCs w:val="32"/>
        </w:rPr>
        <w:t>董事、监事、高级管理人员。</w:t>
      </w:r>
    </w:p>
    <w:p w14:paraId="1F568DB4" w14:textId="77777777" w:rsidR="00EE6E9D" w:rsidRDefault="003F4194">
      <w:pPr>
        <w:widowControl/>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第十三条</w:t>
      </w:r>
      <w:r>
        <w:rPr>
          <w:rFonts w:ascii="仿宋_GB2312" w:eastAsia="仿宋_GB2312" w:hint="eastAsia"/>
          <w:color w:val="0D0D0D"/>
          <w:sz w:val="32"/>
          <w:szCs w:val="32"/>
        </w:rPr>
        <w:t xml:space="preserve"> 商业保理公司下列事项应当向市金融监管局备案：</w:t>
      </w:r>
    </w:p>
    <w:p w14:paraId="5686EBB6"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（一）变更名称（不包括在名称中去除“商业保理”字样的情形）；</w:t>
      </w:r>
    </w:p>
    <w:p w14:paraId="110D7D3C"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（二）变更住所或主要经营场所；</w:t>
      </w:r>
    </w:p>
    <w:p w14:paraId="4D8A31A6" w14:textId="77777777" w:rsidR="00EE6E9D" w:rsidRDefault="003F4194">
      <w:pPr>
        <w:widowControl/>
        <w:spacing w:line="560" w:lineRule="exact"/>
        <w:ind w:firstLineChars="200" w:firstLine="640"/>
        <w:rPr>
          <w:rFonts w:ascii="仿宋_GB2312" w:eastAsia="仿宋_GB2312"/>
          <w:color w:val="0D0D0D"/>
          <w:sz w:val="32"/>
          <w:szCs w:val="32"/>
        </w:rPr>
      </w:pPr>
      <w:r>
        <w:rPr>
          <w:rFonts w:ascii="仿宋_GB2312" w:eastAsia="仿宋_GB2312" w:hint="eastAsia"/>
          <w:color w:val="0D0D0D"/>
          <w:sz w:val="32"/>
          <w:szCs w:val="32"/>
        </w:rPr>
        <w:t>（三）变更持股5</w:t>
      </w:r>
      <w:r>
        <w:rPr>
          <w:rFonts w:ascii="仿宋_GB2312" w:eastAsia="仿宋_GB2312"/>
          <w:color w:val="0D0D0D"/>
          <w:sz w:val="32"/>
          <w:szCs w:val="32"/>
        </w:rPr>
        <w:t>%</w:t>
      </w:r>
      <w:r>
        <w:rPr>
          <w:rFonts w:ascii="仿宋_GB2312" w:eastAsia="仿宋_GB2312" w:hint="eastAsia"/>
          <w:color w:val="0D0D0D"/>
          <w:sz w:val="32"/>
          <w:szCs w:val="32"/>
        </w:rPr>
        <w:t>（不含5%）以下的股东。</w:t>
      </w:r>
    </w:p>
    <w:p w14:paraId="499F98C0" w14:textId="77777777" w:rsidR="00EE6E9D" w:rsidRDefault="003F4194">
      <w:pPr>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lastRenderedPageBreak/>
        <w:t>第十四条</w:t>
      </w:r>
      <w:r>
        <w:rPr>
          <w:rFonts w:ascii="仿宋_GB2312" w:eastAsia="仿宋_GB2312" w:hint="eastAsia"/>
          <w:color w:val="0D0D0D"/>
          <w:sz w:val="32"/>
          <w:szCs w:val="32"/>
        </w:rPr>
        <w:t xml:space="preserve"> </w:t>
      </w:r>
      <w:r>
        <w:rPr>
          <w:rFonts w:ascii="仿宋_GB2312" w:eastAsia="仿宋_GB2312" w:hAnsi="仿宋" w:hint="eastAsia"/>
          <w:bCs/>
          <w:sz w:val="32"/>
          <w:szCs w:val="32"/>
        </w:rPr>
        <w:t>商业保理公司不再从事商业保理业务，应当按照要求向市金融监管局书面申请去除企业名称中“商业保理”字样、相应变更经营范围，并提交资产状况证明、债权债务处置方案等相关材料。</w:t>
      </w:r>
    </w:p>
    <w:p w14:paraId="0AB3E9BA"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商业保理公司解散,应当依法成立清算组进行清算,并对未到期债务及相关责任承接等作出明确安排。</w:t>
      </w:r>
      <w:r>
        <w:rPr>
          <w:rFonts w:ascii="仿宋_GB2312" w:eastAsia="仿宋_GB2312" w:hAnsi="仿宋" w:hint="eastAsia"/>
          <w:sz w:val="32"/>
          <w:szCs w:val="32"/>
          <w:lang w:eastAsia="zh-Hans"/>
        </w:rPr>
        <w:t>清算结束后应</w:t>
      </w:r>
      <w:r>
        <w:rPr>
          <w:rFonts w:ascii="仿宋_GB2312" w:eastAsia="仿宋_GB2312" w:hAnsi="仿宋" w:hint="eastAsia"/>
          <w:sz w:val="32"/>
          <w:szCs w:val="32"/>
        </w:rPr>
        <w:t>当</w:t>
      </w:r>
      <w:r>
        <w:rPr>
          <w:rFonts w:ascii="仿宋_GB2312" w:eastAsia="仿宋_GB2312" w:hAnsi="仿宋" w:hint="eastAsia"/>
          <w:sz w:val="32"/>
          <w:szCs w:val="32"/>
          <w:lang w:eastAsia="zh-Hans"/>
        </w:rPr>
        <w:t>按照要求向市金融监管局提交清算报告等相关资料</w:t>
      </w:r>
      <w:r>
        <w:rPr>
          <w:rFonts w:ascii="仿宋_GB2312" w:eastAsia="仿宋_GB2312" w:hAnsi="仿宋"/>
          <w:sz w:val="32"/>
          <w:szCs w:val="32"/>
          <w:lang w:eastAsia="zh-Hans"/>
        </w:rPr>
        <w:t>，</w:t>
      </w:r>
      <w:r>
        <w:rPr>
          <w:rFonts w:ascii="仿宋_GB2312" w:eastAsia="仿宋_GB2312" w:hAnsi="仿宋" w:hint="eastAsia"/>
          <w:sz w:val="32"/>
          <w:szCs w:val="32"/>
          <w:lang w:eastAsia="zh-Hans"/>
        </w:rPr>
        <w:t>并交回</w:t>
      </w:r>
      <w:r>
        <w:rPr>
          <w:rFonts w:ascii="仿宋_GB2312" w:eastAsia="仿宋_GB2312" w:hAnsi="仿宋" w:hint="eastAsia"/>
          <w:sz w:val="32"/>
          <w:szCs w:val="32"/>
        </w:rPr>
        <w:t>经营许可证或其他</w:t>
      </w:r>
      <w:r>
        <w:rPr>
          <w:rFonts w:eastAsia="仿宋_GB2312" w:hAnsi="仿宋" w:hint="eastAsia"/>
          <w:sz w:val="32"/>
          <w:szCs w:val="32"/>
        </w:rPr>
        <w:t>审批文件</w:t>
      </w:r>
      <w:r>
        <w:rPr>
          <w:rFonts w:eastAsia="仿宋_GB2312" w:hAnsi="仿宋"/>
          <w:sz w:val="32"/>
          <w:szCs w:val="32"/>
          <w:lang w:eastAsia="zh-Hans"/>
        </w:rPr>
        <w:t>。</w:t>
      </w:r>
    </w:p>
    <w:p w14:paraId="331A2E3B" w14:textId="77777777" w:rsidR="00EE6E9D" w:rsidRDefault="003F4194">
      <w:pPr>
        <w:pStyle w:val="BlockQuote"/>
        <w:spacing w:line="560" w:lineRule="exact"/>
        <w:ind w:leftChars="-18" w:left="-38" w:right="-334" w:firstLineChars="213" w:firstLine="682"/>
        <w:rPr>
          <w:rFonts w:eastAsia="仿宋_GB2312"/>
        </w:rPr>
      </w:pPr>
      <w:r>
        <w:rPr>
          <w:rFonts w:eastAsia="仿宋_GB2312" w:hAnsi="仿宋" w:hint="eastAsia"/>
          <w:sz w:val="32"/>
          <w:szCs w:val="32"/>
        </w:rPr>
        <w:t>商业保理公司解散、不再从事商业保理业务或被依法宣告破产，市金融监管局应当注销其经营许可证或其他审批文件，通报市场监督管理部门，并予以公告。</w:t>
      </w:r>
    </w:p>
    <w:p w14:paraId="0E6C66FA" w14:textId="77777777" w:rsidR="00EE6E9D" w:rsidRDefault="003F4194">
      <w:pPr>
        <w:spacing w:line="560" w:lineRule="exact"/>
        <w:jc w:val="center"/>
        <w:rPr>
          <w:rFonts w:ascii="黑体" w:eastAsia="黑体" w:hAnsi="黑体"/>
          <w:bCs/>
          <w:sz w:val="32"/>
          <w:szCs w:val="32"/>
        </w:rPr>
      </w:pPr>
      <w:r>
        <w:rPr>
          <w:rFonts w:ascii="黑体" w:eastAsia="黑体" w:hAnsi="黑体" w:hint="eastAsia"/>
          <w:bCs/>
          <w:sz w:val="32"/>
          <w:szCs w:val="32"/>
        </w:rPr>
        <w:t>第三章  经营规则</w:t>
      </w:r>
    </w:p>
    <w:p w14:paraId="6FB73A9E"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第十五条</w:t>
      </w:r>
      <w:r>
        <w:rPr>
          <w:rFonts w:ascii="仿宋_GB2312" w:eastAsia="仿宋_GB2312" w:hAnsi="仿宋" w:hint="eastAsia"/>
          <w:sz w:val="32"/>
          <w:szCs w:val="32"/>
        </w:rPr>
        <w:t xml:space="preserve"> 商业保理公司可以经营下列部分或全部业务：</w:t>
      </w:r>
    </w:p>
    <w:p w14:paraId="6350A945"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（一）保理融资；</w:t>
      </w:r>
    </w:p>
    <w:p w14:paraId="287AAF3C"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（二）销售分户（分类）账管理；</w:t>
      </w:r>
    </w:p>
    <w:p w14:paraId="05A14B3F"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sz w:val="32"/>
          <w:szCs w:val="32"/>
        </w:rPr>
        <w:t>应收账款催收</w:t>
      </w:r>
      <w:r>
        <w:rPr>
          <w:rFonts w:ascii="仿宋_GB2312" w:eastAsia="仿宋_GB2312" w:hAnsi="仿宋" w:hint="eastAsia"/>
          <w:sz w:val="32"/>
          <w:szCs w:val="32"/>
        </w:rPr>
        <w:t>；</w:t>
      </w:r>
    </w:p>
    <w:p w14:paraId="17D05714"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（四）非商业性坏账担保；</w:t>
      </w:r>
    </w:p>
    <w:p w14:paraId="2EA94DAB"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（五）客户资信调查与评估；</w:t>
      </w:r>
    </w:p>
    <w:p w14:paraId="301563D3"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（六）与商业保理相关的咨询服务；</w:t>
      </w:r>
    </w:p>
    <w:p w14:paraId="3FA3732A"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（七）经国家有关部门批准和认可的其他业务。</w:t>
      </w:r>
    </w:p>
    <w:p w14:paraId="7C85E01B"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第十六条</w:t>
      </w:r>
      <w:r>
        <w:rPr>
          <w:rFonts w:ascii="仿宋_GB2312" w:eastAsia="仿宋_GB2312" w:hAnsi="仿宋" w:hint="eastAsia"/>
          <w:sz w:val="32"/>
          <w:szCs w:val="32"/>
        </w:rPr>
        <w:t xml:space="preserve"> 商业保理公司不得有下列业务或活动：</w:t>
      </w:r>
    </w:p>
    <w:p w14:paraId="36F36172"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（一）吸收或变相吸收公众存款；</w:t>
      </w:r>
    </w:p>
    <w:p w14:paraId="31EE3326"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（二）通过网络借贷信息中介机构、地方各类交易场所、资产管理机构以及私募投资基金等机构融入资金；</w:t>
      </w:r>
    </w:p>
    <w:p w14:paraId="1A2CFF64"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（三）发放或受托发放贷款；</w:t>
      </w:r>
    </w:p>
    <w:p w14:paraId="4B4E56DA"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（四）与其他商业保理公司拆借或变相拆借资金；</w:t>
      </w:r>
    </w:p>
    <w:p w14:paraId="1766B387"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（五）专门从事或受托开展与商业保理无关的催收业务、讨债业务；</w:t>
      </w:r>
    </w:p>
    <w:p w14:paraId="5A01FCB6"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（六）基于不合法基础交易合同、寄售合同、权属不清的应收账款、因票据或其他有价证券而产生的付款请求权等开展保理融资业务；</w:t>
      </w:r>
    </w:p>
    <w:p w14:paraId="1948B493"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（七）国家规定不得从事的其他业务或活动。</w:t>
      </w:r>
    </w:p>
    <w:p w14:paraId="154438CE" w14:textId="77777777" w:rsidR="00EE6E9D" w:rsidRDefault="003F4194">
      <w:pPr>
        <w:widowControl/>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第十七条</w:t>
      </w:r>
      <w:r>
        <w:rPr>
          <w:rFonts w:ascii="仿宋_GB2312" w:eastAsia="仿宋_GB2312" w:hint="eastAsia"/>
          <w:color w:val="0D0D0D"/>
          <w:sz w:val="32"/>
          <w:szCs w:val="32"/>
        </w:rPr>
        <w:t xml:space="preserve"> 商业保理</w:t>
      </w:r>
      <w:r>
        <w:rPr>
          <w:rFonts w:ascii="仿宋_GB2312" w:eastAsia="仿宋_GB2312"/>
          <w:color w:val="0D0D0D"/>
          <w:sz w:val="32"/>
          <w:szCs w:val="32"/>
        </w:rPr>
        <w:t>公司</w:t>
      </w:r>
      <w:r>
        <w:rPr>
          <w:rFonts w:ascii="仿宋_GB2312" w:eastAsia="仿宋_GB2312" w:hint="eastAsia"/>
          <w:color w:val="0D0D0D"/>
          <w:sz w:val="32"/>
          <w:szCs w:val="32"/>
        </w:rPr>
        <w:t>应当建立完善以股东或股东（大）会、董事会（执行董事）、监事（会）、高级管理层等为主体的组织架构，明确职责分工，保证相互之间独立运行、有效制衡，形成科学高效的决策、激励和约束机制。</w:t>
      </w:r>
    </w:p>
    <w:p w14:paraId="754402A9" w14:textId="77777777" w:rsidR="00EE6E9D" w:rsidRDefault="003F4194">
      <w:pPr>
        <w:widowControl/>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第十八条</w:t>
      </w:r>
      <w:r>
        <w:rPr>
          <w:rFonts w:ascii="仿宋_GB2312" w:eastAsia="仿宋_GB2312" w:hAnsi="仿宋" w:hint="eastAsia"/>
          <w:sz w:val="32"/>
          <w:szCs w:val="32"/>
        </w:rPr>
        <w:t xml:space="preserve"> 商业保理公司应当</w:t>
      </w:r>
      <w:r>
        <w:rPr>
          <w:rFonts w:ascii="仿宋_GB2312" w:eastAsia="仿宋_GB2312" w:hint="eastAsia"/>
          <w:color w:val="0D0D0D"/>
          <w:sz w:val="32"/>
          <w:szCs w:val="32"/>
        </w:rPr>
        <w:t>建立健全内部控制体系、</w:t>
      </w:r>
      <w:r>
        <w:rPr>
          <w:rFonts w:ascii="仿宋_GB2312" w:eastAsia="仿宋_GB2312" w:hAnsi="仿宋" w:hint="eastAsia"/>
          <w:sz w:val="32"/>
          <w:szCs w:val="32"/>
        </w:rPr>
        <w:t>风险控制体系</w:t>
      </w:r>
      <w:r>
        <w:rPr>
          <w:rFonts w:ascii="仿宋_GB2312" w:eastAsia="仿宋_GB2312" w:hint="eastAsia"/>
          <w:color w:val="0D0D0D"/>
          <w:sz w:val="32"/>
          <w:szCs w:val="32"/>
        </w:rPr>
        <w:t>，</w:t>
      </w:r>
      <w:r>
        <w:rPr>
          <w:rFonts w:ascii="仿宋_GB2312" w:eastAsia="仿宋_GB2312" w:hAnsi="仿宋" w:hint="eastAsia"/>
          <w:sz w:val="32"/>
          <w:szCs w:val="32"/>
        </w:rPr>
        <w:t>完善内控制度、业务制度、</w:t>
      </w:r>
      <w:r>
        <w:rPr>
          <w:rFonts w:ascii="仿宋_GB2312" w:eastAsia="仿宋_GB2312" w:hint="eastAsia"/>
          <w:color w:val="0D0D0D"/>
          <w:sz w:val="32"/>
          <w:szCs w:val="32"/>
        </w:rPr>
        <w:t>关联交易管理制度、</w:t>
      </w:r>
      <w:r>
        <w:rPr>
          <w:rFonts w:ascii="仿宋_GB2312" w:eastAsia="仿宋_GB2312" w:hAnsi="仿宋" w:hint="eastAsia"/>
          <w:sz w:val="32"/>
          <w:szCs w:val="32"/>
        </w:rPr>
        <w:t>风险管理制度和反洗钱制度，</w:t>
      </w:r>
      <w:r>
        <w:rPr>
          <w:rFonts w:ascii="仿宋_GB2312" w:eastAsia="仿宋_GB2312" w:hint="eastAsia"/>
          <w:color w:val="0D0D0D"/>
          <w:sz w:val="32"/>
          <w:szCs w:val="32"/>
        </w:rPr>
        <w:t>形成良好的风险预警机制，</w:t>
      </w:r>
      <w:r>
        <w:rPr>
          <w:rFonts w:ascii="仿宋_GB2312" w:eastAsia="仿宋_GB2312" w:hAnsi="仿宋" w:hint="eastAsia"/>
          <w:sz w:val="32"/>
          <w:szCs w:val="32"/>
        </w:rPr>
        <w:t>及时识别、防范和化解风险，</w:t>
      </w:r>
      <w:r>
        <w:rPr>
          <w:rFonts w:ascii="仿宋_GB2312" w:eastAsia="仿宋_GB2312" w:hint="eastAsia"/>
          <w:color w:val="0D0D0D"/>
          <w:sz w:val="32"/>
          <w:szCs w:val="32"/>
        </w:rPr>
        <w:t>保障公司安全稳健运行</w:t>
      </w:r>
      <w:r>
        <w:rPr>
          <w:rFonts w:ascii="仿宋_GB2312" w:eastAsia="仿宋_GB2312" w:hAnsi="仿宋" w:hint="eastAsia"/>
          <w:sz w:val="32"/>
          <w:szCs w:val="32"/>
        </w:rPr>
        <w:t>。</w:t>
      </w:r>
    </w:p>
    <w:p w14:paraId="4D2706B4"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第十九条</w:t>
      </w:r>
      <w:r>
        <w:rPr>
          <w:rFonts w:ascii="仿宋_GB2312" w:eastAsia="仿宋_GB2312" w:hAnsi="仿宋" w:hint="eastAsia"/>
          <w:sz w:val="32"/>
          <w:szCs w:val="32"/>
        </w:rPr>
        <w:t xml:space="preserve"> 商业保理公司应当根据自身内部控制水平和风险管理能力，制定适合开展保理融资业务的应收账款标准，规范应收账款范围，严格审核基础交易合同等资料的真实性与合法性，审核债务人的资信、经营及财务状况，合理判断应收账款质量，包括出质、转让情况以及账龄结构等。</w:t>
      </w:r>
    </w:p>
    <w:p w14:paraId="6D390439"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第二十条</w:t>
      </w:r>
      <w:r>
        <w:rPr>
          <w:rFonts w:ascii="仿宋_GB2312" w:eastAsia="仿宋_GB2312" w:hAnsi="仿宋" w:hint="eastAsia"/>
          <w:sz w:val="32"/>
          <w:szCs w:val="32"/>
        </w:rPr>
        <w:t xml:space="preserve"> </w:t>
      </w:r>
      <w:r>
        <w:rPr>
          <w:rFonts w:ascii="仿宋_GB2312" w:eastAsia="仿宋_GB2312" w:hint="eastAsia"/>
          <w:color w:val="0D0D0D"/>
          <w:sz w:val="32"/>
          <w:szCs w:val="32"/>
        </w:rPr>
        <w:t>商业保理公司的融资行为必须符合相关法律法规及监管规定。</w:t>
      </w:r>
    </w:p>
    <w:p w14:paraId="3F6400EF" w14:textId="77777777" w:rsidR="00EE6E9D" w:rsidRDefault="003F4194">
      <w:pPr>
        <w:widowControl/>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lastRenderedPageBreak/>
        <w:t>第二十一条</w:t>
      </w:r>
      <w:r>
        <w:rPr>
          <w:rFonts w:ascii="仿宋_GB2312" w:eastAsia="仿宋_GB2312" w:hAnsi="仿宋" w:hint="eastAsia"/>
          <w:sz w:val="32"/>
          <w:szCs w:val="32"/>
        </w:rPr>
        <w:t xml:space="preserve"> 商业保理公司</w:t>
      </w:r>
      <w:r>
        <w:rPr>
          <w:rFonts w:ascii="仿宋_GB2312" w:eastAsia="仿宋_GB2312" w:hint="eastAsia"/>
          <w:color w:val="0D0D0D"/>
          <w:sz w:val="32"/>
          <w:szCs w:val="32"/>
        </w:rPr>
        <w:t>应当按照相关规定，</w:t>
      </w:r>
      <w:r>
        <w:rPr>
          <w:rFonts w:ascii="仿宋_GB2312" w:eastAsia="仿宋_GB2312" w:hint="eastAsia"/>
          <w:color w:val="000000"/>
          <w:sz w:val="32"/>
          <w:szCs w:val="32"/>
        </w:rPr>
        <w:t>执行国家统一的财务会计准则和制度</w:t>
      </w:r>
      <w:r>
        <w:rPr>
          <w:rFonts w:ascii="仿宋_GB2312" w:eastAsia="仿宋_GB2312" w:hint="eastAsia"/>
          <w:color w:val="0D0D0D"/>
          <w:sz w:val="32"/>
          <w:szCs w:val="32"/>
        </w:rPr>
        <w:t>，真实记录和全面反映企业的财务状况、经营成果和现金流量。</w:t>
      </w:r>
    </w:p>
    <w:p w14:paraId="7A849EF9"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第二十二条</w:t>
      </w:r>
      <w:r>
        <w:rPr>
          <w:rFonts w:ascii="仿宋_GB2312" w:eastAsia="仿宋_GB2312" w:hAnsi="仿宋" w:hint="eastAsia"/>
          <w:sz w:val="32"/>
          <w:szCs w:val="32"/>
        </w:rPr>
        <w:t xml:space="preserve"> </w:t>
      </w:r>
      <w:r>
        <w:rPr>
          <w:rFonts w:ascii="仿宋_GB2312" w:eastAsia="仿宋_GB2312" w:hAnsi="仿宋"/>
          <w:sz w:val="32"/>
          <w:szCs w:val="32"/>
        </w:rPr>
        <w:t>商业保理公司在开展应收账款转让等业务时，应当按照有关规定在中国人民银行征信中心动产融资统一登记公示系统对应收账款的权利状况进行查询、登记公示</w:t>
      </w:r>
      <w:r>
        <w:rPr>
          <w:rFonts w:ascii="仿宋_GB2312" w:eastAsia="仿宋_GB2312" w:hAnsi="仿宋" w:hint="eastAsia"/>
          <w:sz w:val="32"/>
          <w:szCs w:val="32"/>
        </w:rPr>
        <w:t>。</w:t>
      </w:r>
    </w:p>
    <w:p w14:paraId="4CD3A19B"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第二十三条</w:t>
      </w:r>
      <w:r>
        <w:rPr>
          <w:rFonts w:ascii="仿宋_GB2312" w:eastAsia="仿宋_GB2312" w:hint="eastAsia"/>
          <w:color w:val="0D0D0D"/>
          <w:sz w:val="32"/>
          <w:szCs w:val="32"/>
        </w:rPr>
        <w:t xml:space="preserve"> 商业保理公司经营业务过程中涉及外汇管理事项的，应当遵守国家外汇管理有关规定。</w:t>
      </w:r>
    </w:p>
    <w:p w14:paraId="6DEB878E"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第二十四条</w:t>
      </w:r>
      <w:r>
        <w:rPr>
          <w:rFonts w:ascii="仿宋_GB2312" w:eastAsia="仿宋_GB2312" w:hAnsi="仿宋" w:hint="eastAsia"/>
          <w:sz w:val="32"/>
          <w:szCs w:val="32"/>
        </w:rPr>
        <w:t xml:space="preserve"> 商业保理公司应当严格遵守以下监管指标要求：</w:t>
      </w:r>
    </w:p>
    <w:p w14:paraId="7FBC4107"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（一）商业保理公司应当将逾期9</w:t>
      </w:r>
      <w:r>
        <w:rPr>
          <w:rFonts w:ascii="仿宋_GB2312" w:eastAsia="仿宋_GB2312" w:hAnsi="仿宋"/>
          <w:sz w:val="32"/>
          <w:szCs w:val="32"/>
        </w:rPr>
        <w:t>0</w:t>
      </w:r>
      <w:r>
        <w:rPr>
          <w:rFonts w:ascii="仿宋_GB2312" w:eastAsia="仿宋_GB2312" w:hAnsi="仿宋" w:hint="eastAsia"/>
          <w:sz w:val="32"/>
          <w:szCs w:val="32"/>
        </w:rPr>
        <w:t>天未收回或未实现的保理融资款纳入不良资产管理；</w:t>
      </w:r>
    </w:p>
    <w:p w14:paraId="74179FDA" w14:textId="3BD36E9C"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（二）商业保理公司风险资产不得超过净资产的10倍；</w:t>
      </w:r>
    </w:p>
    <w:p w14:paraId="495C6734"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（三）商业保理公司应当计提不低于融资保理业务期末余额1%的风险准备金；</w:t>
      </w:r>
    </w:p>
    <w:p w14:paraId="78F01D37"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（四）商业保理公司应当建立健全集中度风险管理体系，商业保理公司受让同一债务人的应收账款，不得超过风险资产总额的5</w:t>
      </w:r>
      <w:r>
        <w:rPr>
          <w:rFonts w:ascii="仿宋_GB2312" w:eastAsia="仿宋_GB2312" w:hAnsi="仿宋"/>
          <w:sz w:val="32"/>
          <w:szCs w:val="32"/>
        </w:rPr>
        <w:t>0</w:t>
      </w:r>
      <w:r>
        <w:rPr>
          <w:rFonts w:ascii="仿宋_GB2312" w:eastAsia="仿宋_GB2312" w:hAnsi="仿宋" w:hint="eastAsia"/>
          <w:sz w:val="32"/>
          <w:szCs w:val="32"/>
        </w:rPr>
        <w:t>%；受让以其关联企业为债务人的应收账款，不得超过风险资产总额的4</w:t>
      </w:r>
      <w:r>
        <w:rPr>
          <w:rFonts w:ascii="仿宋_GB2312" w:eastAsia="仿宋_GB2312" w:hAnsi="仿宋"/>
          <w:sz w:val="32"/>
          <w:szCs w:val="32"/>
        </w:rPr>
        <w:t>0</w:t>
      </w:r>
      <w:r>
        <w:rPr>
          <w:rFonts w:ascii="仿宋_GB2312" w:eastAsia="仿宋_GB2312" w:hAnsi="仿宋" w:hint="eastAsia"/>
          <w:sz w:val="32"/>
          <w:szCs w:val="32"/>
        </w:rPr>
        <w:t>%。</w:t>
      </w:r>
    </w:p>
    <w:p w14:paraId="2E9DB354" w14:textId="77777777" w:rsidR="00EE6E9D" w:rsidRDefault="003F4194">
      <w:pPr>
        <w:widowControl/>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第二十五条</w:t>
      </w:r>
      <w:r>
        <w:rPr>
          <w:rFonts w:ascii="仿宋_GB2312" w:eastAsia="仿宋_GB2312" w:hAnsi="仿宋" w:hint="eastAsia"/>
          <w:sz w:val="32"/>
          <w:szCs w:val="32"/>
        </w:rPr>
        <w:t xml:space="preserve">  </w:t>
      </w:r>
      <w:r>
        <w:rPr>
          <w:rFonts w:ascii="仿宋_GB2312" w:eastAsia="仿宋_GB2312" w:hint="eastAsia"/>
          <w:color w:val="0D0D0D"/>
          <w:sz w:val="32"/>
          <w:szCs w:val="32"/>
        </w:rPr>
        <w:t>商业保理公司应当</w:t>
      </w:r>
      <w:r>
        <w:rPr>
          <w:rFonts w:ascii="仿宋_GB2312" w:eastAsia="仿宋_GB2312" w:hAnsi="仿宋" w:hint="eastAsia"/>
          <w:sz w:val="32"/>
          <w:szCs w:val="32"/>
        </w:rPr>
        <w:t>建立健全信息报送制度，通过登录金融监管系统等方式，及时填报业务信息，编制月度报表和年度财务会计报告，并按要求向市金融监管局及所在地的区金融工作部门报送</w:t>
      </w:r>
      <w:r>
        <w:rPr>
          <w:rFonts w:ascii="仿宋_GB2312" w:eastAsia="仿宋_GB2312" w:hint="eastAsia"/>
          <w:color w:val="0D0D0D"/>
          <w:sz w:val="32"/>
          <w:szCs w:val="32"/>
        </w:rPr>
        <w:t>。商业保理公司应当保证其上报数据、材料的真实、准确、完整。</w:t>
      </w:r>
    </w:p>
    <w:p w14:paraId="72F56A2A"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商业保理公司</w:t>
      </w:r>
      <w:r>
        <w:rPr>
          <w:rFonts w:ascii="仿宋_GB2312" w:eastAsia="仿宋_GB2312" w:hAnsi="仿宋"/>
          <w:sz w:val="32"/>
          <w:szCs w:val="32"/>
        </w:rPr>
        <w:t>如发生</w:t>
      </w:r>
      <w:r>
        <w:rPr>
          <w:rFonts w:ascii="仿宋_GB2312" w:eastAsia="仿宋_GB2312" w:hAnsi="仿宋" w:hint="eastAsia"/>
          <w:sz w:val="32"/>
          <w:szCs w:val="32"/>
        </w:rPr>
        <w:t>下列</w:t>
      </w:r>
      <w:r>
        <w:rPr>
          <w:rFonts w:ascii="仿宋_GB2312" w:eastAsia="仿宋_GB2312" w:hAnsi="仿宋"/>
          <w:sz w:val="32"/>
          <w:szCs w:val="32"/>
        </w:rPr>
        <w:t>事项，</w:t>
      </w:r>
      <w:r>
        <w:rPr>
          <w:rFonts w:ascii="仿宋_GB2312" w:eastAsia="仿宋_GB2312" w:hAnsi="仿宋" w:hint="eastAsia"/>
          <w:sz w:val="32"/>
          <w:szCs w:val="32"/>
        </w:rPr>
        <w:t>须于</w:t>
      </w:r>
      <w:r>
        <w:rPr>
          <w:rFonts w:ascii="仿宋_GB2312" w:eastAsia="仿宋_GB2312" w:hAnsi="仿宋"/>
          <w:sz w:val="32"/>
          <w:szCs w:val="32"/>
        </w:rPr>
        <w:t>发生后10个工作日内</w:t>
      </w:r>
      <w:r>
        <w:rPr>
          <w:rFonts w:ascii="仿宋_GB2312" w:eastAsia="仿宋_GB2312" w:hAnsi="仿宋" w:hint="eastAsia"/>
          <w:sz w:val="32"/>
          <w:szCs w:val="32"/>
        </w:rPr>
        <w:t>向市金融监管局报告</w:t>
      </w:r>
      <w:r>
        <w:rPr>
          <w:rFonts w:ascii="仿宋_GB2312" w:eastAsia="仿宋_GB2312" w:hAnsi="仿宋"/>
          <w:sz w:val="32"/>
          <w:szCs w:val="32"/>
        </w:rPr>
        <w:t>，</w:t>
      </w:r>
      <w:r>
        <w:rPr>
          <w:rFonts w:ascii="仿宋_GB2312" w:eastAsia="仿宋_GB2312" w:hAnsi="仿宋" w:hint="eastAsia"/>
          <w:sz w:val="32"/>
          <w:szCs w:val="32"/>
        </w:rPr>
        <w:t>并</w:t>
      </w:r>
      <w:r>
        <w:rPr>
          <w:rFonts w:ascii="仿宋_GB2312" w:eastAsia="仿宋_GB2312" w:hAnsi="仿宋"/>
          <w:sz w:val="32"/>
          <w:szCs w:val="32"/>
        </w:rPr>
        <w:t>登录</w:t>
      </w:r>
      <w:r>
        <w:rPr>
          <w:rFonts w:ascii="仿宋_GB2312" w:eastAsia="仿宋_GB2312" w:hAnsi="仿宋" w:hint="eastAsia"/>
          <w:sz w:val="32"/>
          <w:szCs w:val="32"/>
        </w:rPr>
        <w:t>金融监管系统完成</w:t>
      </w:r>
      <w:r>
        <w:rPr>
          <w:rFonts w:ascii="仿宋_GB2312" w:eastAsia="仿宋_GB2312" w:hAnsi="仿宋"/>
          <w:sz w:val="32"/>
          <w:szCs w:val="32"/>
        </w:rPr>
        <w:t>重大事项报告：</w:t>
      </w:r>
      <w:r>
        <w:rPr>
          <w:rFonts w:ascii="仿宋_GB2312" w:eastAsia="仿宋_GB2312" w:hAnsi="仿宋" w:hint="eastAsia"/>
          <w:sz w:val="32"/>
          <w:szCs w:val="32"/>
        </w:rPr>
        <w:t xml:space="preserve">      </w:t>
      </w:r>
    </w:p>
    <w:p w14:paraId="4BF6C67E" w14:textId="77777777" w:rsidR="00EE6E9D" w:rsidRDefault="003F4194">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sz w:val="32"/>
          <w:szCs w:val="32"/>
        </w:rPr>
        <w:t>单笔金额超过净资产5%的重大关联交易</w:t>
      </w:r>
      <w:r>
        <w:rPr>
          <w:rFonts w:ascii="仿宋_GB2312" w:eastAsia="仿宋_GB2312" w:hAnsi="仿宋" w:hint="eastAsia"/>
          <w:sz w:val="32"/>
          <w:szCs w:val="32"/>
        </w:rPr>
        <w:t>；</w:t>
      </w:r>
    </w:p>
    <w:p w14:paraId="5529A5B7" w14:textId="77777777" w:rsidR="00EE6E9D" w:rsidRDefault="003F4194">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sz w:val="32"/>
          <w:szCs w:val="32"/>
        </w:rPr>
        <w:t>单笔金额超过净资产10%的重大债务</w:t>
      </w:r>
      <w:r>
        <w:rPr>
          <w:rFonts w:ascii="仿宋_GB2312" w:eastAsia="仿宋_GB2312" w:hAnsi="仿宋" w:hint="eastAsia"/>
          <w:sz w:val="32"/>
          <w:szCs w:val="32"/>
        </w:rPr>
        <w:t>；</w:t>
      </w:r>
    </w:p>
    <w:p w14:paraId="39C7446F" w14:textId="77777777" w:rsidR="00EE6E9D" w:rsidRDefault="003F4194">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sz w:val="32"/>
          <w:szCs w:val="32"/>
        </w:rPr>
        <w:t>单笔金额超过净资产20%的或有负债</w:t>
      </w:r>
      <w:r>
        <w:rPr>
          <w:rFonts w:ascii="仿宋_GB2312" w:eastAsia="仿宋_GB2312" w:hAnsi="仿宋" w:hint="eastAsia"/>
          <w:sz w:val="32"/>
          <w:szCs w:val="32"/>
        </w:rPr>
        <w:t>；</w:t>
      </w:r>
    </w:p>
    <w:p w14:paraId="2C991FD5" w14:textId="77777777" w:rsidR="00EE6E9D" w:rsidRDefault="003F4194">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sz w:val="32"/>
          <w:szCs w:val="32"/>
        </w:rPr>
        <w:t>超过净资产10%的重大损失或赔偿责任</w:t>
      </w:r>
      <w:r>
        <w:rPr>
          <w:rFonts w:ascii="仿宋_GB2312" w:eastAsia="仿宋_GB2312" w:hAnsi="仿宋" w:hint="eastAsia"/>
          <w:sz w:val="32"/>
          <w:szCs w:val="32"/>
        </w:rPr>
        <w:t>；</w:t>
      </w:r>
    </w:p>
    <w:p w14:paraId="0966E920" w14:textId="77777777" w:rsidR="00EE6E9D" w:rsidRDefault="003F4194">
      <w:pPr>
        <w:pStyle w:val="BlockQuote"/>
        <w:ind w:left="-359" w:right="-334" w:firstLineChars="314" w:firstLine="1005"/>
        <w:rPr>
          <w:rFonts w:eastAsia="仿宋_GB2312" w:hAnsi="仿宋"/>
          <w:sz w:val="32"/>
          <w:szCs w:val="32"/>
        </w:rPr>
      </w:pPr>
      <w:r>
        <w:rPr>
          <w:rFonts w:eastAsia="仿宋_GB2312" w:hAnsi="仿宋" w:hint="eastAsia"/>
          <w:sz w:val="32"/>
          <w:szCs w:val="32"/>
        </w:rPr>
        <w:t>（五）市金融监管局规定需要报送的其他重大事项。</w:t>
      </w:r>
    </w:p>
    <w:p w14:paraId="4C0A33AF" w14:textId="77777777" w:rsidR="00EE6E9D" w:rsidRDefault="003F4194">
      <w:pPr>
        <w:pStyle w:val="BlockQuote"/>
        <w:spacing w:line="560" w:lineRule="exact"/>
        <w:ind w:leftChars="0" w:left="0" w:rightChars="0" w:right="0" w:firstLineChars="200" w:firstLine="643"/>
        <w:rPr>
          <w:rFonts w:eastAsia="仿宋_GB2312" w:hAnsi="仿宋"/>
          <w:sz w:val="32"/>
          <w:szCs w:val="32"/>
        </w:rPr>
      </w:pPr>
      <w:r>
        <w:rPr>
          <w:rFonts w:eastAsia="仿宋_GB2312" w:hAnsi="仿宋" w:hint="eastAsia"/>
          <w:b/>
          <w:bCs/>
          <w:sz w:val="32"/>
          <w:szCs w:val="32"/>
        </w:rPr>
        <w:t xml:space="preserve">第二十六条 </w:t>
      </w:r>
      <w:r>
        <w:rPr>
          <w:rFonts w:eastAsia="仿宋_GB2312" w:hAnsi="仿宋" w:hint="eastAsia"/>
          <w:sz w:val="32"/>
          <w:szCs w:val="32"/>
        </w:rPr>
        <w:t>商业保理公司应当制定金融风险应急预案，明确金融风险的种类、级别、处置机构及人员、处置程序和应急措施等内容；市金融监管局及区金融工作部门应当予以指导。</w:t>
      </w:r>
    </w:p>
    <w:p w14:paraId="3E6DB038" w14:textId="77777777" w:rsidR="00EE6E9D" w:rsidRDefault="003F4194">
      <w:pPr>
        <w:pStyle w:val="BlockQuote"/>
        <w:spacing w:line="560" w:lineRule="exact"/>
        <w:ind w:leftChars="0" w:left="0" w:rightChars="0" w:right="0" w:firstLineChars="200" w:firstLine="640"/>
        <w:rPr>
          <w:rFonts w:eastAsia="仿宋_GB2312" w:hAnsi="仿宋"/>
          <w:sz w:val="32"/>
          <w:szCs w:val="32"/>
        </w:rPr>
      </w:pPr>
      <w:r>
        <w:rPr>
          <w:rFonts w:eastAsia="仿宋_GB2312" w:hAnsi="仿宋" w:hint="eastAsia"/>
          <w:sz w:val="32"/>
          <w:szCs w:val="32"/>
        </w:rPr>
        <w:t>商业保理公司在发生重大待决诉讼或者仲裁、接受刑事调查、重大负面舆情以及群体性事件等风险事件时，应当立即启动风险应急预案，及时采取应对处置措施，并在事件发生后二十四小时内向市金融监管局及区金融工作部门报告。</w:t>
      </w:r>
    </w:p>
    <w:p w14:paraId="110E208D" w14:textId="77777777" w:rsidR="00EE6E9D" w:rsidRDefault="00EE6E9D">
      <w:pPr>
        <w:pStyle w:val="BlockQuote"/>
        <w:ind w:left="-359" w:right="-334" w:firstLineChars="314" w:firstLine="1005"/>
        <w:rPr>
          <w:rFonts w:eastAsia="仿宋_GB2312" w:hAnsi="仿宋"/>
          <w:sz w:val="32"/>
          <w:szCs w:val="32"/>
        </w:rPr>
      </w:pPr>
    </w:p>
    <w:p w14:paraId="66036A48" w14:textId="77777777" w:rsidR="00EE6E9D" w:rsidRDefault="003F4194">
      <w:pPr>
        <w:numPr>
          <w:ilvl w:val="0"/>
          <w:numId w:val="2"/>
        </w:numPr>
        <w:spacing w:line="560" w:lineRule="exact"/>
        <w:jc w:val="center"/>
        <w:rPr>
          <w:rFonts w:ascii="黑体" w:eastAsia="黑体"/>
          <w:sz w:val="32"/>
          <w:szCs w:val="32"/>
        </w:rPr>
      </w:pPr>
      <w:r>
        <w:rPr>
          <w:rFonts w:ascii="黑体" w:eastAsia="黑体" w:hint="eastAsia"/>
          <w:sz w:val="32"/>
          <w:szCs w:val="32"/>
        </w:rPr>
        <w:t>监督管理</w:t>
      </w:r>
    </w:p>
    <w:p w14:paraId="2C113AAD" w14:textId="77777777" w:rsidR="00EE6E9D" w:rsidRDefault="003F4194">
      <w:pPr>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第二十七条</w:t>
      </w:r>
      <w:r>
        <w:rPr>
          <w:rFonts w:ascii="仿宋_GB2312" w:eastAsia="仿宋_GB2312" w:hint="eastAsia"/>
          <w:color w:val="0D0D0D"/>
          <w:sz w:val="32"/>
          <w:szCs w:val="32"/>
        </w:rPr>
        <w:t xml:space="preserve"> 市金融监管局应当遵循严格准入、审慎、协同、防控风险的原则，加强对商业保理公司的监督管理，依法公开行政许可和行政处罚等信息。</w:t>
      </w:r>
    </w:p>
    <w:p w14:paraId="2C04D59E" w14:textId="3947299E" w:rsidR="00EE6E9D" w:rsidRDefault="003F4194">
      <w:pPr>
        <w:widowControl/>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第二十八条</w:t>
      </w:r>
      <w:r>
        <w:rPr>
          <w:rFonts w:ascii="仿宋_GB2312" w:eastAsia="仿宋_GB2312" w:hint="eastAsia"/>
          <w:color w:val="0D0D0D"/>
          <w:sz w:val="32"/>
          <w:szCs w:val="32"/>
        </w:rPr>
        <w:t xml:space="preserve"> 市金融监管局及区金融工作部门应当建立健全监督管理工作制度，通过现场检查</w:t>
      </w:r>
      <w:r w:rsidR="001F1E65">
        <w:rPr>
          <w:rFonts w:ascii="仿宋_GB2312" w:eastAsia="仿宋_GB2312" w:hint="eastAsia"/>
          <w:color w:val="0D0D0D"/>
          <w:sz w:val="32"/>
          <w:szCs w:val="32"/>
        </w:rPr>
        <w:t>、</w:t>
      </w:r>
      <w:r>
        <w:rPr>
          <w:rFonts w:ascii="仿宋_GB2312" w:eastAsia="仿宋_GB2312" w:hint="eastAsia"/>
          <w:color w:val="0D0D0D"/>
          <w:sz w:val="32"/>
          <w:szCs w:val="32"/>
        </w:rPr>
        <w:t>非现场监管、监管谈话等方式，落实各项监管措施，促进商业保理公司健康规范发展。</w:t>
      </w:r>
    </w:p>
    <w:p w14:paraId="5083CEE9" w14:textId="77777777" w:rsidR="00EE6E9D" w:rsidRDefault="003F4194">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市金融监管局及区金融工作部门可以对商业保理公司的法定代表人、董事、监事和高级管理人员，以及控股股东、实际控制人等进行监管谈话。相关人员应当按照要求接受监管谈话，不得拒绝或者拖延，并如实回答监管谈话事项。</w:t>
      </w:r>
    </w:p>
    <w:p w14:paraId="6BA5A98B" w14:textId="77777777" w:rsidR="00EE6E9D" w:rsidRDefault="003F4194">
      <w:pPr>
        <w:widowControl/>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第二十九条</w:t>
      </w:r>
      <w:r>
        <w:rPr>
          <w:rFonts w:ascii="仿宋_GB2312" w:eastAsia="仿宋_GB2312" w:hint="eastAsia"/>
          <w:color w:val="0D0D0D"/>
          <w:sz w:val="32"/>
          <w:szCs w:val="32"/>
        </w:rPr>
        <w:t xml:space="preserve"> 市金融监管局应根据商业保理公司的经营范围、经营规模、管理水平、内控机制和风险状况等情况，对商业保理公司实行分级分类动态监督管理，并根据分级分类情况确定监督检查的方式、频次、范围和需要采取的监管措施。</w:t>
      </w:r>
    </w:p>
    <w:p w14:paraId="4D661EB9" w14:textId="77777777" w:rsidR="00EE6E9D" w:rsidRDefault="003F4194">
      <w:pPr>
        <w:widowControl/>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第三十条</w:t>
      </w:r>
      <w:r>
        <w:rPr>
          <w:rFonts w:ascii="仿宋_GB2312" w:eastAsia="仿宋_GB2312" w:hint="eastAsia"/>
          <w:color w:val="0D0D0D"/>
          <w:sz w:val="32"/>
          <w:szCs w:val="32"/>
        </w:rPr>
        <w:t xml:space="preserve"> 市金融监管局应加强对商业保理公司的非现场监管，不断完善信息化监管手段，运用科技信息技术监测商业保理公司的经营情况及风险。</w:t>
      </w:r>
    </w:p>
    <w:p w14:paraId="61B58854" w14:textId="550211D5" w:rsidR="00EE6E9D" w:rsidRDefault="003F4194">
      <w:pPr>
        <w:widowControl/>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第三十一条</w:t>
      </w:r>
      <w:r>
        <w:rPr>
          <w:rFonts w:ascii="仿宋_GB2312" w:eastAsia="仿宋_GB2312" w:hint="eastAsia"/>
          <w:color w:val="0D0D0D"/>
          <w:sz w:val="32"/>
          <w:szCs w:val="32"/>
        </w:rPr>
        <w:t xml:space="preserve"> 市金融监管局及区金融工作部门依法依规组织开展对商业保理公司的现场检查。区金融工作部门应当检查完成后及时将检查相关资料报送市金融监管局。</w:t>
      </w:r>
    </w:p>
    <w:p w14:paraId="0C3BF8A7" w14:textId="7CF94CC9"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第三十二条</w:t>
      </w:r>
      <w:r>
        <w:rPr>
          <w:rFonts w:ascii="仿宋_GB2312" w:eastAsia="仿宋_GB2312" w:hAnsi="仿宋" w:hint="eastAsia"/>
          <w:sz w:val="32"/>
          <w:szCs w:val="32"/>
        </w:rPr>
        <w:t xml:space="preserve"> 市金融监管局、区金融工作部门发现商业保理公司</w:t>
      </w:r>
      <w:r>
        <w:rPr>
          <w:rFonts w:ascii="仿宋_GB2312" w:eastAsia="仿宋_GB2312" w:hAnsi="仿宋" w:hint="eastAsia"/>
          <w:sz w:val="32"/>
          <w:szCs w:val="32"/>
          <w:lang w:eastAsia="zh-Hans"/>
        </w:rPr>
        <w:t>存在</w:t>
      </w:r>
      <w:r>
        <w:rPr>
          <w:rFonts w:ascii="仿宋_GB2312" w:eastAsia="仿宋_GB2312" w:hAnsi="仿宋" w:hint="eastAsia"/>
          <w:sz w:val="32"/>
          <w:szCs w:val="32"/>
        </w:rPr>
        <w:t>违法违规行为</w:t>
      </w:r>
      <w:r>
        <w:rPr>
          <w:rFonts w:ascii="仿宋_GB2312" w:eastAsia="仿宋_GB2312" w:hAnsi="仿宋" w:hint="eastAsia"/>
          <w:sz w:val="32"/>
          <w:szCs w:val="32"/>
          <w:lang w:eastAsia="zh-Hans"/>
        </w:rPr>
        <w:t>的</w:t>
      </w:r>
      <w:r>
        <w:rPr>
          <w:rFonts w:ascii="仿宋_GB2312" w:eastAsia="仿宋_GB2312" w:hAnsi="仿宋"/>
          <w:sz w:val="32"/>
          <w:szCs w:val="32"/>
          <w:lang w:eastAsia="zh-Hans"/>
        </w:rPr>
        <w:t>，</w:t>
      </w:r>
      <w:r>
        <w:rPr>
          <w:rFonts w:ascii="仿宋_GB2312" w:eastAsia="仿宋_GB2312" w:hAnsi="仿宋" w:hint="eastAsia"/>
          <w:sz w:val="32"/>
          <w:szCs w:val="32"/>
        </w:rPr>
        <w:t>可采取风险提示、责令整改、出具警示函等方式依法进行处置，要求商业保理公司限期整改，并提交整改结果报告；区金融工作部门应对商业保理公司整改情况进行验收，并向市金融监管局报告。</w:t>
      </w:r>
    </w:p>
    <w:p w14:paraId="73BED4FD" w14:textId="77777777" w:rsidR="00EE6E9D" w:rsidRDefault="003F4194">
      <w:pPr>
        <w:widowControl/>
        <w:spacing w:line="560" w:lineRule="exact"/>
        <w:ind w:firstLineChars="200" w:firstLine="643"/>
        <w:rPr>
          <w:rFonts w:ascii="仿宋_GB2312" w:eastAsia="仿宋_GB2312" w:hAnsi="宋体" w:cs="仿宋_GB2312"/>
          <w:color w:val="333333"/>
          <w:sz w:val="32"/>
          <w:szCs w:val="32"/>
          <w:shd w:val="clear" w:color="auto" w:fill="FFFFFF"/>
        </w:rPr>
      </w:pPr>
      <w:r>
        <w:rPr>
          <w:rFonts w:ascii="仿宋_GB2312" w:eastAsia="仿宋_GB2312" w:hAnsi="仿宋" w:hint="eastAsia"/>
          <w:b/>
          <w:bCs/>
          <w:sz w:val="32"/>
          <w:szCs w:val="32"/>
        </w:rPr>
        <w:t>第三十三条</w:t>
      </w:r>
      <w:r>
        <w:rPr>
          <w:rFonts w:ascii="仿宋_GB2312" w:eastAsia="仿宋_GB2312" w:hint="eastAsia"/>
          <w:color w:val="0D0D0D"/>
          <w:sz w:val="32"/>
          <w:szCs w:val="32"/>
        </w:rPr>
        <w:t xml:space="preserve"> </w:t>
      </w:r>
      <w:r>
        <w:rPr>
          <w:rFonts w:ascii="仿宋_GB2312" w:eastAsia="仿宋_GB2312" w:hint="eastAsia"/>
          <w:color w:val="000000"/>
          <w:sz w:val="32"/>
          <w:szCs w:val="32"/>
        </w:rPr>
        <w:t>市金融监管局对商业保理公司实施名单制管理，分批将依法合规、经营状况良好的企业纳入监管名单，可向</w:t>
      </w:r>
      <w:r>
        <w:rPr>
          <w:rFonts w:ascii="仿宋_GB2312" w:eastAsia="仿宋_GB2312" w:hAnsi="Calibri" w:hint="eastAsia"/>
          <w:color w:val="000000"/>
          <w:sz w:val="32"/>
          <w:szCs w:val="32"/>
        </w:rPr>
        <w:t>市场监管、公安、人民银行、银保监、税务等部门、银行保险机构、行业协会等公示，或酌情向社会</w:t>
      </w:r>
      <w:r>
        <w:rPr>
          <w:rFonts w:ascii="仿宋_GB2312" w:eastAsia="仿宋_GB2312" w:hint="eastAsia"/>
          <w:color w:val="000000"/>
          <w:sz w:val="32"/>
          <w:szCs w:val="32"/>
        </w:rPr>
        <w:t>公示</w:t>
      </w:r>
      <w:r>
        <w:rPr>
          <w:rFonts w:ascii="仿宋_GB2312" w:eastAsia="仿宋_GB2312" w:hAnsi="Calibri" w:hint="eastAsia"/>
          <w:color w:val="333333"/>
          <w:sz w:val="32"/>
          <w:szCs w:val="32"/>
        </w:rPr>
        <w:t>。</w:t>
      </w:r>
    </w:p>
    <w:p w14:paraId="7AFDE232" w14:textId="77777777" w:rsidR="00EE6E9D" w:rsidRDefault="00EE6E9D">
      <w:pPr>
        <w:widowControl/>
        <w:spacing w:line="560" w:lineRule="exact"/>
        <w:ind w:firstLineChars="200" w:firstLine="640"/>
        <w:rPr>
          <w:rFonts w:ascii="黑体" w:eastAsia="黑体" w:hAnsi="黑体"/>
          <w:bCs/>
          <w:sz w:val="32"/>
          <w:szCs w:val="32"/>
        </w:rPr>
      </w:pPr>
    </w:p>
    <w:p w14:paraId="78DB94C4" w14:textId="77777777" w:rsidR="00EE6E9D" w:rsidRDefault="003F4194">
      <w:pPr>
        <w:numPr>
          <w:ilvl w:val="0"/>
          <w:numId w:val="2"/>
        </w:numPr>
        <w:spacing w:line="560" w:lineRule="exact"/>
        <w:jc w:val="center"/>
        <w:rPr>
          <w:rFonts w:ascii="黑体" w:eastAsia="黑体" w:hAnsi="黑体"/>
          <w:bCs/>
          <w:sz w:val="32"/>
          <w:szCs w:val="32"/>
        </w:rPr>
      </w:pPr>
      <w:r>
        <w:rPr>
          <w:rFonts w:ascii="黑体" w:eastAsia="黑体" w:hAnsi="黑体" w:hint="eastAsia"/>
          <w:bCs/>
          <w:sz w:val="32"/>
          <w:szCs w:val="32"/>
        </w:rPr>
        <w:t>行业自律</w:t>
      </w:r>
    </w:p>
    <w:p w14:paraId="1AE7261B" w14:textId="77777777" w:rsidR="00EE6E9D" w:rsidRDefault="003F4194">
      <w:pPr>
        <w:spacing w:line="560" w:lineRule="exact"/>
        <w:ind w:firstLineChars="200" w:firstLine="643"/>
        <w:rPr>
          <w:rStyle w:val="NormalCharacter"/>
          <w:rFonts w:ascii="仿宋_GB2312" w:eastAsia="仿宋_GB2312" w:hAnsi="仿宋"/>
          <w:b/>
          <w:bCs/>
          <w:color w:val="000000"/>
          <w:sz w:val="32"/>
          <w:szCs w:val="32"/>
        </w:rPr>
      </w:pPr>
      <w:r>
        <w:rPr>
          <w:rFonts w:ascii="仿宋_GB2312" w:eastAsia="仿宋_GB2312" w:hAnsi="仿宋" w:hint="eastAsia"/>
          <w:b/>
          <w:bCs/>
          <w:sz w:val="32"/>
          <w:szCs w:val="32"/>
        </w:rPr>
        <w:t>第三十四条</w:t>
      </w:r>
      <w:r>
        <w:rPr>
          <w:rFonts w:ascii="仿宋_GB2312" w:eastAsia="仿宋_GB2312" w:hAnsi="仿宋" w:hint="eastAsia"/>
          <w:sz w:val="32"/>
          <w:szCs w:val="32"/>
        </w:rPr>
        <w:t xml:space="preserve"> 商业保理公司及其从业</w:t>
      </w:r>
      <w:r>
        <w:rPr>
          <w:rFonts w:ascii="仿宋_GB2312" w:eastAsia="仿宋_GB2312" w:hAnsi="仿宋"/>
          <w:sz w:val="32"/>
          <w:szCs w:val="32"/>
        </w:rPr>
        <w:t>人员在</w:t>
      </w:r>
      <w:r>
        <w:rPr>
          <w:rFonts w:ascii="仿宋_GB2312" w:eastAsia="仿宋_GB2312" w:hAnsi="仿宋" w:hint="eastAsia"/>
          <w:sz w:val="32"/>
          <w:szCs w:val="32"/>
        </w:rPr>
        <w:t>从事经营活动中应当增强</w:t>
      </w:r>
      <w:r>
        <w:rPr>
          <w:rFonts w:ascii="仿宋_GB2312" w:eastAsia="仿宋_GB2312" w:hAnsi="仿宋"/>
          <w:sz w:val="32"/>
          <w:szCs w:val="32"/>
        </w:rPr>
        <w:t>自律意识，建立相应的企业自查制度，自觉主动地检查</w:t>
      </w:r>
      <w:r>
        <w:rPr>
          <w:rFonts w:ascii="仿宋_GB2312" w:eastAsia="仿宋_GB2312" w:hAnsi="仿宋" w:hint="eastAsia"/>
          <w:sz w:val="32"/>
          <w:szCs w:val="32"/>
        </w:rPr>
        <w:t>，对</w:t>
      </w:r>
      <w:r>
        <w:rPr>
          <w:rFonts w:ascii="仿宋_GB2312" w:eastAsia="仿宋_GB2312" w:hAnsi="仿宋"/>
          <w:sz w:val="32"/>
          <w:szCs w:val="32"/>
        </w:rPr>
        <w:t>自身风险漏洞、违章违纪、违背政策</w:t>
      </w:r>
      <w:r>
        <w:rPr>
          <w:rFonts w:ascii="仿宋_GB2312" w:eastAsia="仿宋_GB2312" w:hAnsi="仿宋" w:hint="eastAsia"/>
          <w:sz w:val="32"/>
          <w:szCs w:val="32"/>
        </w:rPr>
        <w:t>、</w:t>
      </w:r>
      <w:r>
        <w:rPr>
          <w:rFonts w:ascii="仿宋_GB2312" w:eastAsia="仿宋_GB2312" w:hAnsi="仿宋"/>
          <w:sz w:val="32"/>
          <w:szCs w:val="32"/>
        </w:rPr>
        <w:t>损害公众利益的行为及时加以纠正。</w:t>
      </w:r>
    </w:p>
    <w:p w14:paraId="30AD99E0" w14:textId="77777777" w:rsidR="00EE6E9D" w:rsidRDefault="003F4194">
      <w:pPr>
        <w:spacing w:line="560" w:lineRule="exact"/>
        <w:ind w:firstLineChars="200" w:firstLine="643"/>
        <w:rPr>
          <w:rStyle w:val="NormalCharacter"/>
          <w:rFonts w:ascii="仿宋_GB2312" w:eastAsia="仿宋_GB2312" w:hAnsi="黑体"/>
          <w:bCs/>
          <w:color w:val="000000"/>
          <w:sz w:val="32"/>
          <w:szCs w:val="32"/>
        </w:rPr>
      </w:pPr>
      <w:r>
        <w:rPr>
          <w:rStyle w:val="NormalCharacter"/>
          <w:rFonts w:ascii="仿宋_GB2312" w:eastAsia="仿宋_GB2312" w:hAnsi="仿宋" w:hint="eastAsia"/>
          <w:b/>
          <w:bCs/>
          <w:color w:val="000000"/>
          <w:sz w:val="32"/>
          <w:szCs w:val="32"/>
        </w:rPr>
        <w:t>第三十五条</w:t>
      </w:r>
      <w:r>
        <w:rPr>
          <w:rStyle w:val="NormalCharacter"/>
          <w:rFonts w:ascii="仿宋_GB2312" w:eastAsia="仿宋_GB2312" w:hAnsi="黑体" w:hint="eastAsia"/>
          <w:color w:val="000000"/>
          <w:sz w:val="32"/>
          <w:szCs w:val="32"/>
        </w:rPr>
        <w:t xml:space="preserve"> 本市商业保理行业自律组织依照法律、法规和章程的规定，发挥沟通协调、提供服务、倡导行业自律等作用，引导商业保理公司依法经营、公平竞争，推动行业诚信建设。</w:t>
      </w:r>
    </w:p>
    <w:p w14:paraId="0EF4E578"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北京商业保理协会是本市商业保理行业自律组织，鼓励商业保理公司加入商业保理行业自律组织。</w:t>
      </w:r>
    </w:p>
    <w:p w14:paraId="6413DDD2"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第三十六条</w:t>
      </w:r>
      <w:r>
        <w:rPr>
          <w:rFonts w:ascii="仿宋_GB2312" w:eastAsia="仿宋_GB2312" w:hAnsi="仿宋" w:hint="eastAsia"/>
          <w:sz w:val="32"/>
          <w:szCs w:val="32"/>
        </w:rPr>
        <w:t xml:space="preserve"> 北京商业保理协会应当履行下列行业自律职责：</w:t>
      </w:r>
    </w:p>
    <w:p w14:paraId="6931A817"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组织会员签订自律公约，督促会员依法合规经营，共同维护公平竞争的市场环境；加强从业人员诚信监督教育，提高从业人员素质；自觉接受舆论监督，维护商业保理行业声誉和经营秩序；对于违反行业协会章程、自律公约、管理制度等致使行业利益受损的商业保理公司及从业人员，可按照相关规定予以自律性处理，并及时报告市金融监管局。</w:t>
      </w:r>
    </w:p>
    <w:p w14:paraId="310A5C4A"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第三十七条</w:t>
      </w:r>
      <w:r>
        <w:rPr>
          <w:rFonts w:ascii="仿宋_GB2312" w:eastAsia="仿宋_GB2312" w:hAnsi="仿宋" w:hint="eastAsia"/>
          <w:sz w:val="32"/>
          <w:szCs w:val="32"/>
        </w:rPr>
        <w:t xml:space="preserve"> 北京商业保理协会应当履行下列行业协调职责：</w:t>
      </w:r>
    </w:p>
    <w:p w14:paraId="758345DE" w14:textId="77777777" w:rsidR="00EE6E9D" w:rsidRDefault="003F419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协助市金融监管局等部门落实有关政策、措施；协助市金融监管局开展数据统计、合规检查、投诉调查处理等相关</w:t>
      </w:r>
      <w:r>
        <w:rPr>
          <w:rFonts w:ascii="仿宋_GB2312" w:eastAsia="仿宋_GB2312" w:hAnsi="仿宋" w:hint="eastAsia"/>
          <w:sz w:val="32"/>
          <w:szCs w:val="32"/>
        </w:rPr>
        <w:lastRenderedPageBreak/>
        <w:t>工作；建立和完善行业内部争议调解处理机制。</w:t>
      </w:r>
    </w:p>
    <w:p w14:paraId="481C3E53" w14:textId="77777777" w:rsidR="00EE6E9D" w:rsidRDefault="003F4194">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第三十八条</w:t>
      </w:r>
      <w:r>
        <w:rPr>
          <w:rFonts w:ascii="仿宋_GB2312" w:eastAsia="仿宋_GB2312" w:hAnsi="仿宋" w:hint="eastAsia"/>
          <w:sz w:val="32"/>
          <w:szCs w:val="32"/>
        </w:rPr>
        <w:t xml:space="preserve"> 北京商业保理协会应当履行下列行业服务职责：</w:t>
      </w:r>
    </w:p>
    <w:p w14:paraId="7E8FC68C" w14:textId="77777777" w:rsidR="00EE6E9D" w:rsidRDefault="003F4194">
      <w:pPr>
        <w:spacing w:line="560" w:lineRule="exact"/>
        <w:ind w:firstLineChars="200" w:firstLine="640"/>
        <w:jc w:val="left"/>
        <w:rPr>
          <w:rFonts w:ascii="黑体" w:eastAsia="黑体"/>
          <w:sz w:val="32"/>
          <w:szCs w:val="32"/>
        </w:rPr>
      </w:pPr>
      <w:r>
        <w:rPr>
          <w:rFonts w:ascii="仿宋_GB2312" w:eastAsia="仿宋_GB2312" w:hAnsi="仿宋" w:hint="eastAsia"/>
          <w:sz w:val="32"/>
          <w:szCs w:val="32"/>
        </w:rPr>
        <w:t>建立会员间信息沟通机制，促进会员间的业务、技术、信息等方面的交流与合作，组织开展行业培训，提升会员业务管理水平。</w:t>
      </w:r>
    </w:p>
    <w:p w14:paraId="6CC0E53D" w14:textId="77777777" w:rsidR="00EE6E9D" w:rsidRDefault="003F4194">
      <w:pPr>
        <w:spacing w:line="560" w:lineRule="exact"/>
        <w:jc w:val="center"/>
        <w:rPr>
          <w:rFonts w:ascii="仿宋_GB2312" w:eastAsia="黑体"/>
          <w:color w:val="000000"/>
          <w:sz w:val="32"/>
          <w:szCs w:val="32"/>
        </w:rPr>
      </w:pPr>
      <w:r>
        <w:rPr>
          <w:rFonts w:ascii="黑体" w:eastAsia="黑体" w:hAnsi="黑体" w:hint="eastAsia"/>
          <w:bCs/>
          <w:sz w:val="32"/>
          <w:szCs w:val="32"/>
        </w:rPr>
        <w:t>第六章 法律责任</w:t>
      </w:r>
    </w:p>
    <w:p w14:paraId="3F274315" w14:textId="77777777" w:rsidR="00EE6E9D" w:rsidRDefault="003F4194">
      <w:pPr>
        <w:pStyle w:val="BlockQuote"/>
        <w:spacing w:line="560" w:lineRule="exact"/>
        <w:ind w:leftChars="0" w:left="0" w:right="-334" w:firstLineChars="200" w:firstLine="643"/>
        <w:rPr>
          <w:rFonts w:eastAsia="仿宋_GB2312"/>
          <w:color w:val="0D0D0D"/>
          <w:sz w:val="32"/>
          <w:szCs w:val="32"/>
        </w:rPr>
      </w:pPr>
      <w:r>
        <w:rPr>
          <w:rFonts w:eastAsia="仿宋_GB2312" w:hAnsi="仿宋" w:hint="eastAsia"/>
          <w:b/>
          <w:bCs/>
          <w:sz w:val="32"/>
          <w:szCs w:val="32"/>
        </w:rPr>
        <w:t>第三十九条</w:t>
      </w:r>
      <w:r>
        <w:rPr>
          <w:rFonts w:eastAsia="仿宋_GB2312" w:hint="eastAsia"/>
          <w:color w:val="000000"/>
          <w:sz w:val="32"/>
          <w:szCs w:val="32"/>
        </w:rPr>
        <w:t xml:space="preserve"> </w:t>
      </w:r>
      <w:r>
        <w:rPr>
          <w:rFonts w:eastAsia="仿宋_GB2312" w:hAnsi="Calibri" w:hint="eastAsia"/>
          <w:color w:val="0D0D0D"/>
          <w:sz w:val="32"/>
          <w:szCs w:val="32"/>
        </w:rPr>
        <w:t>商业保理公司</w:t>
      </w:r>
      <w:r>
        <w:rPr>
          <w:rFonts w:eastAsia="仿宋_GB2312" w:hint="eastAsia"/>
          <w:color w:val="000000"/>
          <w:sz w:val="32"/>
          <w:szCs w:val="32"/>
        </w:rPr>
        <w:t>违反本办法第十六条、第二十四条规定的</w:t>
      </w:r>
      <w:r>
        <w:rPr>
          <w:rFonts w:eastAsia="仿宋_GB2312" w:hAnsi="Calibri" w:hint="eastAsia"/>
          <w:color w:val="0D0D0D"/>
          <w:sz w:val="32"/>
          <w:szCs w:val="32"/>
        </w:rPr>
        <w:t>，</w:t>
      </w:r>
      <w:r>
        <w:rPr>
          <w:rFonts w:eastAsia="仿宋_GB2312" w:hAnsi="Calibri" w:hint="eastAsia"/>
          <w:color w:val="0D0D0D"/>
          <w:sz w:val="32"/>
          <w:szCs w:val="32"/>
          <w:lang w:eastAsia="zh-Hans"/>
        </w:rPr>
        <w:t>按照</w:t>
      </w:r>
      <w:r>
        <w:rPr>
          <w:rFonts w:eastAsia="仿宋_GB2312" w:hAnsi="Calibri" w:hint="eastAsia"/>
          <w:color w:val="0D0D0D"/>
          <w:sz w:val="32"/>
          <w:szCs w:val="32"/>
        </w:rPr>
        <w:t>《北京市地方金融监督管理条例》</w:t>
      </w:r>
      <w:r>
        <w:rPr>
          <w:rFonts w:eastAsia="仿宋_GB2312" w:hAnsi="Calibri" w:hint="eastAsia"/>
          <w:color w:val="0D0D0D"/>
          <w:sz w:val="32"/>
          <w:szCs w:val="32"/>
          <w:lang w:eastAsia="zh-Hans"/>
        </w:rPr>
        <w:t>第五十条</w:t>
      </w:r>
      <w:r>
        <w:rPr>
          <w:rFonts w:eastAsia="仿宋_GB2312" w:hAnsi="Calibri" w:hint="eastAsia"/>
          <w:color w:val="0D0D0D"/>
          <w:sz w:val="32"/>
          <w:szCs w:val="32"/>
        </w:rPr>
        <w:t>的</w:t>
      </w:r>
      <w:r>
        <w:rPr>
          <w:rFonts w:eastAsia="仿宋_GB2312" w:hAnsi="Calibri" w:hint="eastAsia"/>
          <w:color w:val="0D0D0D"/>
          <w:sz w:val="32"/>
          <w:szCs w:val="32"/>
          <w:lang w:eastAsia="zh-Hans"/>
        </w:rPr>
        <w:t>规定予以处罚</w:t>
      </w:r>
      <w:r>
        <w:rPr>
          <w:rFonts w:eastAsia="仿宋_GB2312" w:hint="eastAsia"/>
          <w:color w:val="0D0D0D"/>
          <w:sz w:val="32"/>
          <w:szCs w:val="32"/>
        </w:rPr>
        <w:t>。</w:t>
      </w:r>
    </w:p>
    <w:p w14:paraId="60454216" w14:textId="77777777" w:rsidR="00EE6E9D" w:rsidRDefault="003F4194">
      <w:pPr>
        <w:spacing w:line="560" w:lineRule="exact"/>
        <w:jc w:val="center"/>
        <w:rPr>
          <w:rFonts w:ascii="黑体" w:eastAsia="黑体"/>
          <w:sz w:val="32"/>
          <w:szCs w:val="32"/>
        </w:rPr>
      </w:pPr>
      <w:r>
        <w:rPr>
          <w:rFonts w:ascii="黑体" w:eastAsia="黑体" w:hint="eastAsia"/>
          <w:sz w:val="32"/>
          <w:szCs w:val="32"/>
        </w:rPr>
        <w:t>第七章 附 则</w:t>
      </w:r>
    </w:p>
    <w:p w14:paraId="5C052E71" w14:textId="77777777" w:rsidR="00EE6E9D" w:rsidRDefault="003F4194">
      <w:pPr>
        <w:widowControl/>
        <w:spacing w:line="560" w:lineRule="exact"/>
        <w:ind w:firstLineChars="200" w:firstLine="643"/>
        <w:rPr>
          <w:rFonts w:ascii="仿宋_GB2312" w:eastAsia="仿宋_GB2312"/>
          <w:color w:val="0D0D0D"/>
          <w:sz w:val="32"/>
          <w:szCs w:val="32"/>
        </w:rPr>
      </w:pPr>
      <w:r>
        <w:rPr>
          <w:rFonts w:ascii="仿宋_GB2312" w:eastAsia="仿宋_GB2312" w:hAnsi="仿宋" w:hint="eastAsia"/>
          <w:b/>
          <w:bCs/>
          <w:sz w:val="32"/>
          <w:szCs w:val="32"/>
        </w:rPr>
        <w:t>第四十条</w:t>
      </w:r>
      <w:r>
        <w:rPr>
          <w:rFonts w:ascii="仿宋_GB2312" w:eastAsia="仿宋_GB2312" w:hint="eastAsia"/>
          <w:color w:val="0D0D0D"/>
          <w:sz w:val="32"/>
          <w:szCs w:val="32"/>
        </w:rPr>
        <w:t xml:space="preserve"> </w:t>
      </w:r>
      <w:r>
        <w:rPr>
          <w:rFonts w:ascii="仿宋_GB2312" w:eastAsia="仿宋_GB2312"/>
          <w:color w:val="0D0D0D"/>
          <w:sz w:val="32"/>
          <w:szCs w:val="32"/>
        </w:rPr>
        <w:t>本</w:t>
      </w:r>
      <w:r>
        <w:rPr>
          <w:rFonts w:ascii="仿宋_GB2312" w:eastAsia="仿宋_GB2312" w:hint="eastAsia"/>
          <w:color w:val="0D0D0D"/>
          <w:sz w:val="32"/>
          <w:szCs w:val="32"/>
        </w:rPr>
        <w:t>办法</w:t>
      </w:r>
      <w:r>
        <w:rPr>
          <w:rFonts w:ascii="仿宋_GB2312" w:eastAsia="仿宋_GB2312"/>
          <w:color w:val="0D0D0D"/>
          <w:sz w:val="32"/>
          <w:szCs w:val="32"/>
        </w:rPr>
        <w:t>由</w:t>
      </w:r>
      <w:r>
        <w:rPr>
          <w:rFonts w:ascii="仿宋_GB2312" w:eastAsia="仿宋_GB2312" w:hint="eastAsia"/>
          <w:color w:val="0D0D0D"/>
          <w:sz w:val="32"/>
          <w:szCs w:val="32"/>
        </w:rPr>
        <w:t>市金融监管局</w:t>
      </w:r>
      <w:r>
        <w:rPr>
          <w:rFonts w:ascii="仿宋_GB2312" w:eastAsia="仿宋_GB2312"/>
          <w:color w:val="0D0D0D"/>
          <w:sz w:val="32"/>
          <w:szCs w:val="32"/>
        </w:rPr>
        <w:t>负责解释。</w:t>
      </w:r>
    </w:p>
    <w:p w14:paraId="4DD386D5" w14:textId="77777777" w:rsidR="00EE6E9D" w:rsidRDefault="003F4194">
      <w:pPr>
        <w:spacing w:line="560" w:lineRule="exact"/>
        <w:ind w:firstLine="645"/>
        <w:rPr>
          <w:rFonts w:ascii="仿宋_GB2312" w:eastAsia="仿宋_GB2312" w:hAnsi="仿宋"/>
          <w:sz w:val="32"/>
          <w:szCs w:val="32"/>
        </w:rPr>
      </w:pPr>
      <w:r>
        <w:rPr>
          <w:rFonts w:ascii="仿宋_GB2312" w:eastAsia="仿宋_GB2312" w:hAnsi="仿宋" w:hint="eastAsia"/>
          <w:b/>
          <w:bCs/>
          <w:sz w:val="32"/>
          <w:szCs w:val="32"/>
        </w:rPr>
        <w:t>第四十一条</w:t>
      </w:r>
      <w:r>
        <w:rPr>
          <w:rFonts w:ascii="仿宋_GB2312" w:eastAsia="仿宋_GB2312" w:hAnsi="仿宋" w:hint="eastAsia"/>
          <w:sz w:val="32"/>
          <w:szCs w:val="32"/>
        </w:rPr>
        <w:t xml:space="preserve"> </w:t>
      </w:r>
      <w:r>
        <w:rPr>
          <w:rFonts w:ascii="仿宋_GB2312" w:eastAsia="仿宋_GB2312" w:hAnsi="仿宋" w:hint="eastAsia"/>
          <w:sz w:val="32"/>
          <w:szCs w:val="32"/>
          <w:lang w:eastAsia="zh-Hans"/>
        </w:rPr>
        <w:t>本办法未</w:t>
      </w:r>
      <w:r>
        <w:rPr>
          <w:rFonts w:ascii="仿宋_GB2312" w:eastAsia="仿宋_GB2312" w:hAnsi="仿宋" w:hint="eastAsia"/>
          <w:sz w:val="32"/>
          <w:szCs w:val="32"/>
        </w:rPr>
        <w:t>作</w:t>
      </w:r>
      <w:r>
        <w:rPr>
          <w:rFonts w:ascii="仿宋_GB2312" w:eastAsia="仿宋_GB2312" w:hAnsi="仿宋" w:hint="eastAsia"/>
          <w:sz w:val="32"/>
          <w:szCs w:val="32"/>
          <w:lang w:eastAsia="zh-Hans"/>
        </w:rPr>
        <w:t>规定的</w:t>
      </w:r>
      <w:r>
        <w:rPr>
          <w:rFonts w:ascii="仿宋_GB2312" w:eastAsia="仿宋_GB2312" w:hAnsi="仿宋"/>
          <w:sz w:val="32"/>
          <w:szCs w:val="32"/>
          <w:lang w:eastAsia="zh-Hans"/>
        </w:rPr>
        <w:t>，</w:t>
      </w:r>
      <w:r>
        <w:rPr>
          <w:rFonts w:ascii="仿宋_GB2312" w:eastAsia="仿宋_GB2312" w:hAnsi="仿宋" w:hint="eastAsia"/>
          <w:sz w:val="32"/>
          <w:szCs w:val="32"/>
          <w:lang w:eastAsia="zh-Hans"/>
        </w:rPr>
        <w:t>依照</w:t>
      </w:r>
      <w:r>
        <w:rPr>
          <w:rFonts w:ascii="仿宋_GB2312" w:eastAsia="仿宋_GB2312" w:hAnsi="仿宋"/>
          <w:sz w:val="32"/>
          <w:szCs w:val="32"/>
          <w:lang w:eastAsia="zh-Hans"/>
        </w:rPr>
        <w:t>《</w:t>
      </w:r>
      <w:r>
        <w:rPr>
          <w:rFonts w:ascii="仿宋_GB2312" w:eastAsia="仿宋_GB2312" w:hAnsi="仿宋" w:hint="eastAsia"/>
          <w:sz w:val="32"/>
          <w:szCs w:val="32"/>
          <w:lang w:eastAsia="zh-Hans"/>
        </w:rPr>
        <w:t>北京市地方金融监督管理条例</w:t>
      </w:r>
      <w:r>
        <w:rPr>
          <w:rFonts w:ascii="仿宋_GB2312" w:eastAsia="仿宋_GB2312" w:hAnsi="仿宋"/>
          <w:sz w:val="32"/>
          <w:szCs w:val="32"/>
          <w:lang w:eastAsia="zh-Hans"/>
        </w:rPr>
        <w:t>》</w:t>
      </w:r>
      <w:r>
        <w:rPr>
          <w:rStyle w:val="NormalCharacter"/>
          <w:rFonts w:ascii="仿宋_GB2312" w:eastAsia="仿宋_GB2312" w:hint="eastAsia"/>
          <w:color w:val="000000"/>
          <w:sz w:val="32"/>
          <w:szCs w:val="32"/>
        </w:rPr>
        <w:t>等相关法律法规和监管规定执行</w:t>
      </w:r>
      <w:r>
        <w:rPr>
          <w:rFonts w:ascii="仿宋_GB2312" w:eastAsia="仿宋_GB2312" w:hAnsi="仿宋"/>
          <w:sz w:val="32"/>
          <w:szCs w:val="32"/>
          <w:lang w:eastAsia="zh-Hans"/>
        </w:rPr>
        <w:t>。</w:t>
      </w:r>
    </w:p>
    <w:p w14:paraId="46E874CB" w14:textId="77777777" w:rsidR="00EE6E9D" w:rsidRDefault="003F4194">
      <w:pPr>
        <w:widowControl/>
        <w:spacing w:line="560" w:lineRule="exact"/>
        <w:ind w:firstLineChars="200" w:firstLine="643"/>
      </w:pPr>
      <w:r>
        <w:rPr>
          <w:rFonts w:ascii="仿宋_GB2312" w:eastAsia="仿宋_GB2312" w:hAnsi="仿宋" w:hint="eastAsia"/>
          <w:b/>
          <w:bCs/>
          <w:sz w:val="32"/>
          <w:szCs w:val="32"/>
        </w:rPr>
        <w:t>第四十二条</w:t>
      </w:r>
      <w:r>
        <w:rPr>
          <w:rFonts w:ascii="仿宋_GB2312" w:eastAsia="仿宋_GB2312" w:hAnsi="仿宋" w:hint="eastAsia"/>
          <w:sz w:val="32"/>
          <w:szCs w:val="32"/>
        </w:rPr>
        <w:t xml:space="preserve"> 本办法自  年  月  日起施行。</w:t>
      </w:r>
    </w:p>
    <w:p w14:paraId="5ED55A4C" w14:textId="77777777" w:rsidR="00EE6E9D" w:rsidRDefault="00EE6E9D">
      <w:pPr>
        <w:widowControl/>
        <w:spacing w:line="560" w:lineRule="exact"/>
        <w:ind w:firstLineChars="200" w:firstLine="420"/>
      </w:pPr>
    </w:p>
    <w:p w14:paraId="39F60B8C" w14:textId="77777777" w:rsidR="00EE6E9D" w:rsidRDefault="00EE6E9D"/>
    <w:p w14:paraId="2F25CFF4" w14:textId="77777777" w:rsidR="00EE6E9D" w:rsidRDefault="00EE6E9D"/>
    <w:sectPr w:rsidR="00EE6E9D">
      <w:headerReference w:type="even" r:id="rId8"/>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3E49" w14:textId="77777777" w:rsidR="003870C2" w:rsidRDefault="003870C2">
      <w:r>
        <w:separator/>
      </w:r>
    </w:p>
  </w:endnote>
  <w:endnote w:type="continuationSeparator" w:id="0">
    <w:p w14:paraId="1F3C4BB0" w14:textId="77777777" w:rsidR="003870C2" w:rsidRDefault="0038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1F7F" w14:textId="77777777" w:rsidR="00EE6E9D" w:rsidRDefault="003F4194">
    <w:pPr>
      <w:pStyle w:val="a3"/>
      <w:jc w:val="center"/>
    </w:pPr>
    <w:r>
      <w:fldChar w:fldCharType="begin"/>
    </w:r>
    <w:r>
      <w:instrText>PAGE   \* MERGEFORMAT</w:instrText>
    </w:r>
    <w:r>
      <w:fldChar w:fldCharType="separate"/>
    </w:r>
    <w:r>
      <w:rPr>
        <w:lang w:val="zh-CN"/>
      </w:rPr>
      <w:t>1</w:t>
    </w:r>
    <w:r>
      <w:fldChar w:fldCharType="end"/>
    </w:r>
  </w:p>
  <w:p w14:paraId="41E2220E" w14:textId="77777777" w:rsidR="00EE6E9D" w:rsidRDefault="00EE6E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6297" w14:textId="77777777" w:rsidR="003870C2" w:rsidRDefault="003870C2">
      <w:r>
        <w:separator/>
      </w:r>
    </w:p>
  </w:footnote>
  <w:footnote w:type="continuationSeparator" w:id="0">
    <w:p w14:paraId="44540CD4" w14:textId="77777777" w:rsidR="003870C2" w:rsidRDefault="0038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7533" w14:textId="77777777" w:rsidR="00EE6E9D" w:rsidRDefault="00EE6E9D">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FABB" w14:textId="77777777" w:rsidR="00EE6E9D" w:rsidRDefault="00EE6E9D">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1AD8D"/>
    <w:multiLevelType w:val="singleLevel"/>
    <w:tmpl w:val="4FE1AD8D"/>
    <w:lvl w:ilvl="0">
      <w:start w:val="4"/>
      <w:numFmt w:val="chineseCounting"/>
      <w:suff w:val="space"/>
      <w:lvlText w:val="第%1章"/>
      <w:lvlJc w:val="left"/>
      <w:rPr>
        <w:rFonts w:hint="eastAsia"/>
      </w:rPr>
    </w:lvl>
  </w:abstractNum>
  <w:abstractNum w:abstractNumId="1" w15:restartNumberingAfterBreak="0">
    <w:nsid w:val="7B14A10A"/>
    <w:multiLevelType w:val="singleLevel"/>
    <w:tmpl w:val="7B14A10A"/>
    <w:lvl w:ilvl="0">
      <w:start w:val="1"/>
      <w:numFmt w:val="chineseCounting"/>
      <w:suff w:val="nothing"/>
      <w:lvlText w:val="（%1）"/>
      <w:lvlJc w:val="left"/>
      <w:pPr>
        <w:ind w:left="200" w:firstLine="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E9D"/>
    <w:rsid w:val="EFD7EEF4"/>
    <w:rsid w:val="F3FD4882"/>
    <w:rsid w:val="001F1E65"/>
    <w:rsid w:val="003870C2"/>
    <w:rsid w:val="003F4194"/>
    <w:rsid w:val="0053353F"/>
    <w:rsid w:val="00754BE1"/>
    <w:rsid w:val="00E10D05"/>
    <w:rsid w:val="00EE6E9D"/>
    <w:rsid w:val="00FC0B5F"/>
    <w:rsid w:val="3CD1AF41"/>
    <w:rsid w:val="3DBF1CF3"/>
    <w:rsid w:val="5C9A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44568"/>
  <w15:docId w15:val="{82271F6F-F286-41A5-B98B-8D0DFA66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lockQuote"/>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Quote">
    <w:name w:val="BlockQuote"/>
    <w:basedOn w:val="a"/>
    <w:qFormat/>
    <w:pPr>
      <w:spacing w:line="460" w:lineRule="exact"/>
      <w:ind w:leftChars="-171" w:left="-171" w:rightChars="-159" w:right="-159" w:firstLine="450"/>
      <w:textAlignment w:val="baseline"/>
    </w:pPr>
    <w:rPr>
      <w:rFonts w:ascii="仿宋_GB2312" w:hAnsi="仿宋_GB2312"/>
      <w:sz w:val="30"/>
      <w:szCs w:val="30"/>
    </w:rPr>
  </w:style>
  <w:style w:type="paragraph" w:styleId="a3">
    <w:name w:val="footer"/>
    <w:basedOn w:val="a"/>
    <w:uiPriority w:val="99"/>
    <w:unhideWhenUsed/>
    <w:qFormat/>
    <w:pPr>
      <w:tabs>
        <w:tab w:val="center" w:pos="4153"/>
        <w:tab w:val="right" w:pos="8306"/>
      </w:tabs>
      <w:snapToGrid w:val="0"/>
      <w:jc w:val="left"/>
    </w:pPr>
    <w:rPr>
      <w:rFonts w:ascii="Calibri" w:hAnsi="Calibri"/>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刘 艳丽</cp:lastModifiedBy>
  <cp:revision>6</cp:revision>
  <dcterms:created xsi:type="dcterms:W3CDTF">2021-11-20T06:43:00Z</dcterms:created>
  <dcterms:modified xsi:type="dcterms:W3CDTF">2022-03-23T07:49:00Z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7646A0A1C3194EC1973A190111458B60</vt:lpwstr>
  </property>
</Properties>
</file>