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黑体" w:hAnsi="黑体" w:eastAsia="黑体" w:cs="黑体"/>
          <w:b w:val="0"/>
          <w:bCs w:val="0"/>
          <w:color w:val="auto"/>
          <w:sz w:val="32"/>
          <w:szCs w:val="32"/>
        </w:rPr>
      </w:pPr>
      <w:r>
        <w:rPr>
          <w:rFonts w:hint="eastAsia" w:ascii="黑体" w:hAnsi="黑体" w:eastAsia="黑体" w:cs="黑体"/>
          <w:b w:val="0"/>
          <w:bCs w:val="0"/>
          <w:color w:val="auto"/>
          <w:sz w:val="32"/>
          <w:szCs w:val="32"/>
        </w:rPr>
        <w:t>附件</w:t>
      </w:r>
      <w:r>
        <w:rPr>
          <w:rFonts w:hint="default" w:ascii="黑体" w:hAnsi="黑体" w:eastAsia="黑体" w:cs="黑体"/>
          <w:b w:val="0"/>
          <w:bCs w:val="0"/>
          <w:color w:val="auto"/>
          <w:sz w:val="32"/>
          <w:szCs w:val="32"/>
        </w:rPr>
        <w:t>4</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黑体" w:hAnsi="黑体" w:eastAsia="黑体" w:cs="黑体"/>
          <w:b w:val="0"/>
          <w:bCs w:val="0"/>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中华人民共和国工业和信息化部 国家发展改革委 财政部 国家税务总局公告</w:t>
      </w:r>
    </w:p>
    <w:p>
      <w:pPr>
        <w:keepNext w:val="0"/>
        <w:keepLines w:val="0"/>
        <w:pageBreakBefore w:val="0"/>
        <w:kinsoku/>
        <w:wordWrap/>
        <w:overflowPunct/>
        <w:topLinePunct w:val="0"/>
        <w:autoSpaceDE/>
        <w:autoSpaceDN/>
        <w:bidi w:val="0"/>
        <w:adjustRightInd/>
        <w:snapToGrid/>
        <w:spacing w:beforeAutospacing="0" w:afterAutospacing="0" w:line="600" w:lineRule="exact"/>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2021年第10号</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为贯彻落实《国务院关于印发新时期促进集成电路产业和软件产业高质量发展若干政策的通知》（国发〔2020〕8号）精神，根据《关于促进集成电路产业和软件产业高质量发展企业所得税的公告》（财政部  税务总局  国家发展改革委  工业和信息化部公告2020年第45号），工业和信息化部、国家发展改革委、财政部、税务总局制定了国家鼓励的软件企业条件，现公告如下：</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一、国家鼓励的软件企业是指同时符合下列条件的企业：</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一）在中国境内（不包括港、澳、台地区）依法设立，以软件产品开发及相关信息技术服务为主营业务并具有独立法人资格的企业；该企业的设立具有合理商业目的，且不以减少、免除或推迟缴纳税款为主要目的；</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二）汇算清缴年度具有劳动合同关系或劳务派遣、聘用关系，其中具有本科及以上学历的月平均职工人数占企业月平均职工总人数的比例不低于40%，研究开发人员月平均数占企业月平均职工总数的比例不低于25%；</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三）拥有核心关键技术，并以此为基础开展经营活动，汇算清缴年度研究开发费用总额占企业销售（营业）收入总额的比例不低于7%，企业在中国境内发生的研究开发费用金额占研究开发费用总额的比例不低于60%；</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四）汇算清缴年度软件产品开发销售及相关信息技术服务（营业）收入占企业收入总额的比例不低于55%[嵌入式软件产品开发销售（营业）收入占企业收入总额的比例不低于45%]，其中软件产品自主开发销售及相关信息技术服务（营业）收入占企业收入总额的比例不低于45%[嵌入式软件产品开发销售（营业）收入占企业收入总额的比例不低于40%]；</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（五）主营业务或主要产品具有专利或计算机软件著作权等属于本企业的知识产权；</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（六）具有与软件开发相适应的生产经营场所、软硬件设施等开发环境（如合法的开发工具等），建立符合软件工程要求的质量管理体系并持续有效运行；</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（七）汇算清缴年度未发生重大安全事故、重大质量事故、知识产权侵权等行为，企业合法经营。</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二、本公告第一条中所称研究开发费用政策口径，按照《财政部  国家税务总局  科技部关于完善研究开发费用税前加计扣除政策的通知》（财税〔2015〕119号）和《国家税务总局关于研发费用税前加计扣除归集范围有关问题的公告》（国家税务总局公告2017年第40号）等规定执行。</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r>
        <w:rPr>
          <w:rFonts w:hint="default"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rPr>
        <w:t>三、本公告自2020年1月1日起执行，由工业和信息化部会同国家发展改革委、财政部、税务总局负责解释。</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beforeAutospacing="0" w:afterAutospacing="0" w:line="600" w:lineRule="exact"/>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工业和信息化部  </w:t>
      </w:r>
    </w:p>
    <w:p>
      <w:pPr>
        <w:keepNext w:val="0"/>
        <w:keepLines w:val="0"/>
        <w:pageBreakBefore w:val="0"/>
        <w:kinsoku/>
        <w:wordWrap/>
        <w:overflowPunct/>
        <w:topLinePunct w:val="0"/>
        <w:autoSpaceDE/>
        <w:autoSpaceDN/>
        <w:bidi w:val="0"/>
        <w:adjustRightInd/>
        <w:snapToGrid/>
        <w:spacing w:beforeAutospacing="0" w:afterAutospacing="0" w:line="600" w:lineRule="exact"/>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国家发展改革委  </w:t>
      </w:r>
    </w:p>
    <w:p>
      <w:pPr>
        <w:keepNext w:val="0"/>
        <w:keepLines w:val="0"/>
        <w:pageBreakBefore w:val="0"/>
        <w:kinsoku/>
        <w:wordWrap/>
        <w:overflowPunct/>
        <w:topLinePunct w:val="0"/>
        <w:autoSpaceDE/>
        <w:autoSpaceDN/>
        <w:bidi w:val="0"/>
        <w:adjustRightInd/>
        <w:snapToGrid/>
        <w:spacing w:beforeAutospacing="0" w:afterAutospacing="0" w:line="600" w:lineRule="exact"/>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财政部      </w:t>
      </w:r>
    </w:p>
    <w:p>
      <w:pPr>
        <w:keepNext w:val="0"/>
        <w:keepLines w:val="0"/>
        <w:pageBreakBefore w:val="0"/>
        <w:kinsoku/>
        <w:wordWrap/>
        <w:overflowPunct/>
        <w:topLinePunct w:val="0"/>
        <w:autoSpaceDE/>
        <w:autoSpaceDN/>
        <w:bidi w:val="0"/>
        <w:adjustRightInd/>
        <w:snapToGrid/>
        <w:spacing w:beforeAutospacing="0" w:afterAutospacing="0" w:line="600" w:lineRule="exact"/>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国家税务总局   </w:t>
      </w:r>
    </w:p>
    <w:p>
      <w:pPr>
        <w:keepNext w:val="0"/>
        <w:keepLines w:val="0"/>
        <w:pageBreakBefore w:val="0"/>
        <w:kinsoku/>
        <w:wordWrap/>
        <w:overflowPunct/>
        <w:topLinePunct w:val="0"/>
        <w:autoSpaceDE/>
        <w:autoSpaceDN/>
        <w:bidi w:val="0"/>
        <w:adjustRightInd/>
        <w:snapToGrid/>
        <w:spacing w:beforeAutospacing="0" w:afterAutospacing="0" w:line="600" w:lineRule="exact"/>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2021年4月23日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panose1 w:val="020B0603030804020204"/>
    <w:charset w:val="00"/>
    <w:family w:val="roman"/>
    <w:pitch w:val="default"/>
    <w:sig w:usb0="E7006EFF" w:usb1="D200FDFF" w:usb2="0A246029" w:usb3="0400200C" w:csb0="600001FF" w:csb1="DFFF0000"/>
  </w:font>
  <w:font w:name="方正书宋_GBK">
    <w:altName w:val="方正宋体S-超大字符集"/>
    <w:panose1 w:val="02000000000000000000"/>
    <w:charset w:val="86"/>
    <w:family w:val="auto"/>
    <w:pitch w:val="default"/>
    <w:sig w:usb0="00000001" w:usb1="08000000" w:usb2="00000000" w:usb3="00000000" w:csb0="00040000" w:csb1="00000000"/>
  </w:font>
  <w:font w:name="方正黑体_GBK">
    <w:altName w:val="思源黑体 CN"/>
    <w:panose1 w:val="02000000000000000000"/>
    <w:charset w:val="00"/>
    <w:family w:val="auto"/>
    <w:pitch w:val="default"/>
    <w:sig w:usb0="00000001" w:usb1="08000000" w:usb2="00000000" w:usb3="00000000" w:csb0="00040000" w:csb1="00000000"/>
  </w:font>
  <w:font w:name="Calibri">
    <w:altName w:val="DejaVu Sans"/>
    <w:panose1 w:val="020F0502020204030204"/>
    <w:charset w:val="00"/>
    <w:family w:val="swiss"/>
    <w:pitch w:val="default"/>
    <w:sig w:usb0="00000000" w:usb1="00000000" w:usb2="00000001" w:usb3="00000000" w:csb0="0000019F" w:csb1="00000000"/>
  </w:font>
  <w:font w:name="黑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0F5ED5"/>
    <w:rsid w:val="247818EC"/>
    <w:rsid w:val="6E1342CF"/>
    <w:rsid w:val="750E249D"/>
    <w:rsid w:val="A9EF6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8FAF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2021-04-29T17:21:00Z</dcterms:created>
  <dc:creator>liangyameng</dc:creator>
  <cp:lastModifiedBy>梁雅萌</cp:lastModifiedBy>
  <dcterms:modified xsi:type="dcterms:W3CDTF">2022-03-24T17:34:09Z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y fmtid="{D5CDD505-2E9C-101B-9397-08002B2CF9AE}" pid="3" name="ICV">
    <vt:lpwstr>4BF68867394547898C1D888F7A68DC9F</vt:lpwstr>
  </property>
</Properties>
</file>