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360" w:lineRule="auto"/>
        <w:rPr>
          <w:rFonts w:ascii="仿宋_GB2312" w:eastAsia="仿宋_GB2312"/>
          <w:sz w:val="32"/>
          <w:szCs w:val="32"/>
        </w:rPr>
      </w:pPr>
      <w:bookmarkStart w:id="0" w:name="_GoBack"/>
      <w:bookmarkEnd w:id="0"/>
      <w:r>
        <w:rPr>
          <w:rFonts w:ascii="方正黑体_GBK" w:eastAsia="方正黑体_GBK" w:hint="eastAsia"/>
          <w:sz w:val="32"/>
          <w:szCs w:val="32"/>
        </w:rPr>
        <w:t>附件</w:t>
      </w:r>
      <w:r>
        <w:rPr>
          <w:rFonts w:ascii="Times New Roman" w:eastAsia="仿宋_GB2312" w:hAnsi="Times New Roman"/>
          <w:sz w:val="32"/>
          <w:szCs w:val="32"/>
        </w:rPr>
        <w:t>1</w:t>
      </w:r>
    </w:p>
    <w:p>
      <w:pPr>
        <w:spacing w:line="600" w:lineRule="exact"/>
        <w:rPr>
          <w:rFonts w:ascii="黑体" w:eastAsia="黑体" w:cs="宋体"/>
          <w:bCs/>
          <w:sz w:val="32"/>
          <w:szCs w:val="32"/>
        </w:rPr>
      </w:pPr>
    </w:p>
    <w:p>
      <w:pPr>
        <w:jc w:val="center"/>
        <w:rPr>
          <w:rFonts w:ascii="方正小标宋简体" w:eastAsia="方正小标宋简体"/>
          <w:b/>
          <w:sz w:val="32"/>
          <w:szCs w:val="32"/>
        </w:rPr>
      </w:pPr>
      <w:r>
        <w:rPr>
          <w:rFonts w:ascii="方正小标宋简体" w:eastAsia="方正小标宋简体" w:hint="eastAsia"/>
          <w:b/>
          <w:sz w:val="32"/>
          <w:szCs w:val="32"/>
        </w:rPr>
        <w:t xml:space="preserve">中华人民共和国深圳海关  </w:t>
      </w:r>
    </w:p>
    <w:p>
      <w:pPr>
        <w:jc w:val="center"/>
        <w:rPr>
          <w:rFonts w:ascii="方正小标宋简体" w:eastAsia="方正小标宋简体"/>
          <w:b/>
          <w:sz w:val="32"/>
          <w:szCs w:val="32"/>
        </w:rPr>
      </w:pPr>
      <w:r>
        <w:rPr>
          <w:rFonts w:ascii="方正小标宋简体" w:eastAsia="方正小标宋简体" w:hint="eastAsia"/>
          <w:b/>
          <w:sz w:val="32"/>
          <w:szCs w:val="32"/>
        </w:rPr>
        <w:t>国家税务总局深圳市税务局</w:t>
      </w:r>
    </w:p>
    <w:p>
      <w:pPr>
        <w:jc w:val="center"/>
        <w:rPr>
          <w:rFonts w:ascii="方正小标宋简体" w:eastAsia="方正小标宋简体"/>
          <w:b/>
          <w:sz w:val="32"/>
          <w:szCs w:val="32"/>
        </w:rPr>
      </w:pPr>
      <w:r>
        <w:rPr>
          <w:rFonts w:ascii="方正小标宋简体" w:eastAsia="方正小标宋简体" w:hint="eastAsia"/>
          <w:b/>
          <w:sz w:val="32"/>
          <w:szCs w:val="32"/>
        </w:rPr>
        <w:t xml:space="preserve">XX公司 </w:t>
      </w:r>
    </w:p>
    <w:p>
      <w:pPr>
        <w:jc w:val="center"/>
        <w:rPr>
          <w:rFonts w:ascii="方正小标宋简体" w:eastAsia="方正小标宋简体"/>
          <w:b/>
          <w:sz w:val="32"/>
          <w:szCs w:val="32"/>
        </w:rPr>
      </w:pPr>
      <w:r>
        <w:rPr>
          <w:rFonts w:ascii="方正小标宋简体" w:eastAsia="方正小标宋简体" w:hint="eastAsia"/>
          <w:b/>
          <w:sz w:val="32"/>
          <w:szCs w:val="32"/>
        </w:rPr>
        <w:t>关联进口货物转让定价协同管理备忘录</w:t>
      </w:r>
    </w:p>
    <w:p>
      <w:pPr>
        <w:spacing w:line="600" w:lineRule="exact"/>
        <w:rPr>
          <w:rFonts w:ascii="黑体" w:eastAsia="黑体" w:cs="宋体"/>
          <w:b/>
          <w:bCs/>
          <w:sz w:val="32"/>
          <w:szCs w:val="32"/>
        </w:rPr>
      </w:pPr>
    </w:p>
    <w:p>
      <w:pPr>
        <w:spacing w:line="600" w:lineRule="exact"/>
        <w:ind w:firstLineChars="200" w:firstLine="640"/>
        <w:rPr>
          <w:rFonts w:ascii="方正仿宋_GBK" w:eastAsia="方正仿宋_GBK" w:hint="eastAsia"/>
          <w:sz w:val="32"/>
        </w:rPr>
      </w:pPr>
      <w:r>
        <w:rPr>
          <w:rFonts w:ascii="方正仿宋_GBK" w:eastAsia="方正仿宋_GBK" w:hint="eastAsia"/>
          <w:sz w:val="32"/>
        </w:rPr>
        <w:t>根据</w:t>
      </w:r>
      <w:r>
        <w:rPr>
          <w:rFonts w:ascii="方正仿宋_GBK" w:eastAsia="方正仿宋_GBK" w:hint="eastAsia"/>
          <w:sz w:val="32"/>
          <w:szCs w:val="32"/>
        </w:rPr>
        <w:t>《中华人民共和国海关审定进出口货物完税价格办法》（海关总署令213号）、《中华人民共和国海关预裁定管理暂行办法》(海关总署令236号</w:t>
      </w:r>
      <w:r>
        <w:rPr>
          <w:rFonts w:ascii="方正仿宋_GBK" w:eastAsia="方正仿宋_GBK"/>
          <w:sz w:val="32"/>
          <w:szCs w:val="32"/>
        </w:rPr>
        <w:t>)</w:t>
      </w:r>
      <w:r>
        <w:rPr>
          <w:rFonts w:ascii="方正仿宋_GBK" w:eastAsia="方正仿宋_GBK" w:hint="eastAsia"/>
          <w:sz w:val="32"/>
        </w:rPr>
        <w:t>以及</w:t>
      </w:r>
      <w:r>
        <w:rPr>
          <w:rFonts w:ascii="方正仿宋_GBK" w:eastAsia="方正仿宋_GBK" w:hint="eastAsia"/>
          <w:sz w:val="32"/>
          <w:szCs w:val="32"/>
        </w:rPr>
        <w:t>《国家税务总局关于完善预约定价安排管理有关事项的公告》（国家税务总局公告2016年第64号）</w:t>
      </w:r>
      <w:r>
        <w:rPr>
          <w:rFonts w:ascii="方正仿宋_GBK" w:eastAsia="方正仿宋_GBK" w:hint="eastAsia"/>
          <w:sz w:val="32"/>
        </w:rPr>
        <w:t>，经</w:t>
      </w:r>
      <w:r>
        <w:rPr>
          <w:rFonts w:ascii="方正仿宋_GBK" w:eastAsia="方正仿宋_GBK" w:hint="eastAsia"/>
          <w:sz w:val="32"/>
          <w:u w:val="single"/>
        </w:rPr>
        <w:t>XX公司</w:t>
      </w:r>
      <w:r>
        <w:rPr>
          <w:rFonts w:ascii="方正仿宋_GBK" w:eastAsia="方正仿宋_GBK" w:hint="eastAsia"/>
          <w:sz w:val="32"/>
        </w:rPr>
        <w:t>正式申请、中华人民共和国深圳海关和国家税务总局深圳市税务局联合评估，三方就</w:t>
      </w:r>
      <w:r>
        <w:rPr>
          <w:rFonts w:ascii="方正仿宋_GBK" w:eastAsia="方正仿宋_GBK" w:hint="eastAsia"/>
          <w:sz w:val="32"/>
          <w:u w:val="single"/>
        </w:rPr>
        <w:t>XX公司</w:t>
      </w:r>
      <w:r>
        <w:rPr>
          <w:rFonts w:ascii="方正仿宋_GBK" w:eastAsia="方正仿宋_GBK" w:hint="eastAsia"/>
          <w:sz w:val="32"/>
        </w:rPr>
        <w:t>关联进口货物转让定价相关事宜达成如下协同管理备忘录：</w:t>
      </w:r>
    </w:p>
    <w:p>
      <w:pPr>
        <w:spacing w:line="600" w:lineRule="exact"/>
        <w:ind w:firstLineChars="200" w:firstLine="640"/>
        <w:rPr>
          <w:rFonts w:eastAsia="仿宋_GB2312"/>
          <w:sz w:val="32"/>
        </w:rPr>
      </w:pPr>
    </w:p>
    <w:p>
      <w:pPr>
        <w:spacing w:line="600" w:lineRule="exact"/>
        <w:jc w:val="center"/>
        <w:rPr>
          <w:rFonts w:ascii="黑体" w:eastAsia="黑体"/>
          <w:sz w:val="32"/>
        </w:rPr>
      </w:pPr>
      <w:r>
        <w:rPr>
          <w:rFonts w:ascii="黑体" w:eastAsia="黑体" w:hint="eastAsia"/>
          <w:sz w:val="32"/>
        </w:rPr>
        <w:t>第一条</w:t>
      </w:r>
      <w:r>
        <w:rPr>
          <w:rFonts w:ascii="黑体" w:eastAsia="黑体"/>
          <w:sz w:val="32"/>
        </w:rPr>
        <w:t xml:space="preserve">  </w:t>
      </w:r>
      <w:r>
        <w:rPr>
          <w:rFonts w:ascii="黑体" w:eastAsia="黑体" w:hint="eastAsia"/>
          <w:sz w:val="32"/>
        </w:rPr>
        <w:t>一般定义</w:t>
      </w:r>
    </w:p>
    <w:p>
      <w:pPr>
        <w:spacing w:line="600" w:lineRule="exact"/>
        <w:rPr>
          <w:rFonts w:ascii="方正仿宋_GBK" w:eastAsia="方正仿宋_GBK" w:hint="eastAsia"/>
          <w:sz w:val="32"/>
        </w:rPr>
      </w:pPr>
      <w:r>
        <w:rPr>
          <w:rFonts w:eastAsia="仿宋_GB2312"/>
          <w:sz w:val="32"/>
        </w:rPr>
        <w:t xml:space="preserve">    </w:t>
      </w:r>
      <w:r>
        <w:rPr>
          <w:rFonts w:ascii="方正仿宋_GBK" w:eastAsia="方正仿宋_GBK" w:hint="eastAsia"/>
          <w:sz w:val="32"/>
        </w:rPr>
        <w:t>在本备忘录中，除上下文另有解释的以外：</w:t>
      </w:r>
    </w:p>
    <w:p>
      <w:pPr>
        <w:spacing w:line="600" w:lineRule="exact"/>
        <w:rPr>
          <w:rFonts w:ascii="方正仿宋_GBK" w:eastAsia="方正仿宋_GBK" w:hint="eastAsia"/>
          <w:sz w:val="32"/>
        </w:rPr>
      </w:pPr>
      <w:r>
        <w:rPr>
          <w:rFonts w:ascii="方正仿宋_GBK" w:eastAsia="方正仿宋_GBK" w:hint="eastAsia"/>
          <w:sz w:val="32"/>
        </w:rPr>
        <w:t xml:space="preserve">    一、“主管海关”是指中华人民共和国深圳海关。</w:t>
      </w:r>
    </w:p>
    <w:p>
      <w:pPr>
        <w:spacing w:line="600" w:lineRule="exact"/>
        <w:rPr>
          <w:rFonts w:ascii="方正仿宋_GBK" w:eastAsia="方正仿宋_GBK" w:hint="eastAsia"/>
          <w:sz w:val="32"/>
        </w:rPr>
      </w:pPr>
      <w:r>
        <w:rPr>
          <w:rFonts w:ascii="方正仿宋_GBK" w:eastAsia="方正仿宋_GBK" w:hint="eastAsia"/>
          <w:sz w:val="32"/>
        </w:rPr>
        <w:t xml:space="preserve">    二、“主管税务机关”是指国家税务总局深圳市税务局。</w:t>
      </w:r>
    </w:p>
    <w:p>
      <w:pPr>
        <w:spacing w:line="600" w:lineRule="exact"/>
        <w:ind w:firstLine="630"/>
        <w:rPr>
          <w:rFonts w:ascii="方正仿宋_GBK" w:eastAsia="方正仿宋_GBK" w:hint="eastAsia"/>
          <w:sz w:val="32"/>
        </w:rPr>
      </w:pPr>
      <w:r>
        <w:rPr>
          <w:rFonts w:ascii="方正仿宋_GBK" w:eastAsia="方正仿宋_GBK" w:hint="eastAsia"/>
          <w:sz w:val="32"/>
        </w:rPr>
        <w:t>三、“申请人”是指</w:t>
      </w:r>
      <w:r>
        <w:rPr>
          <w:rFonts w:ascii="方正仿宋_GBK" w:eastAsia="方正仿宋_GBK" w:hint="eastAsia"/>
          <w:sz w:val="32"/>
          <w:u w:val="single"/>
        </w:rPr>
        <w:t>XX公司</w:t>
      </w:r>
      <w:r>
        <w:rPr>
          <w:rFonts w:ascii="方正仿宋_GBK" w:eastAsia="方正仿宋_GBK" w:hint="eastAsia"/>
          <w:sz w:val="32"/>
        </w:rPr>
        <w:t>，申请人识别号（统一社会信用代码）：</w:t>
      </w:r>
      <w:r>
        <w:rPr>
          <w:rFonts w:ascii="方正仿宋_GBK" w:eastAsia="方正仿宋_GBK" w:hint="eastAsia"/>
          <w:sz w:val="32"/>
          <w:u w:val="single"/>
        </w:rPr>
        <w:t>9144XXXXXXXXXXXXXX</w:t>
      </w:r>
      <w:r>
        <w:rPr>
          <w:rFonts w:ascii="方正仿宋_GBK" w:eastAsia="方正仿宋_GBK" w:hint="eastAsia"/>
          <w:sz w:val="32"/>
        </w:rPr>
        <w:t>，地址：</w:t>
      </w:r>
      <w:r>
        <w:rPr>
          <w:rFonts w:ascii="方正仿宋_GBK" w:eastAsia="方正仿宋_GBK" w:hint="eastAsia"/>
          <w:sz w:val="32"/>
          <w:u w:val="single"/>
        </w:rPr>
        <w:t>深圳市XXXXXXXXXXXXXX</w:t>
      </w:r>
      <w:r>
        <w:rPr>
          <w:rFonts w:ascii="方正仿宋_GBK" w:eastAsia="方正仿宋_GBK" w:hint="eastAsia"/>
          <w:sz w:val="32"/>
        </w:rPr>
        <w:t>。</w:t>
      </w:r>
    </w:p>
    <w:p>
      <w:pPr>
        <w:spacing w:line="600" w:lineRule="exact"/>
        <w:ind w:firstLine="630"/>
        <w:rPr>
          <w:rFonts w:ascii="方正仿宋_GBK" w:eastAsia="方正仿宋_GBK" w:hint="eastAsia"/>
          <w:sz w:val="32"/>
        </w:rPr>
      </w:pPr>
      <w:r>
        <w:rPr>
          <w:rFonts w:ascii="方正仿宋_GBK" w:eastAsia="方正仿宋_GBK" w:hint="eastAsia"/>
          <w:sz w:val="32"/>
        </w:rPr>
        <w:t>四、“协同价格”是指根据主管海关、主管税务机关、申请人就关联进口货物转让定价所达成的定价原则及计算方法，运算得出的进口货物价格（成本）。</w:t>
      </w:r>
    </w:p>
    <w:p>
      <w:pPr>
        <w:spacing w:line="600" w:lineRule="exact"/>
        <w:ind w:firstLine="630"/>
        <w:rPr>
          <w:rFonts w:ascii="仿宋_GB2312" w:eastAsia="仿宋_GB2312"/>
          <w:sz w:val="32"/>
        </w:rPr>
      </w:pPr>
    </w:p>
    <w:p>
      <w:pPr>
        <w:spacing w:line="600" w:lineRule="exact"/>
        <w:jc w:val="center"/>
        <w:rPr>
          <w:rFonts w:ascii="黑体" w:eastAsia="黑体"/>
          <w:sz w:val="32"/>
        </w:rPr>
      </w:pPr>
      <w:r>
        <w:rPr>
          <w:rFonts w:ascii="黑体" w:eastAsia="黑体" w:hint="eastAsia"/>
          <w:sz w:val="32"/>
        </w:rPr>
        <w:t>第二条</w:t>
      </w:r>
      <w:r>
        <w:rPr>
          <w:rFonts w:ascii="黑体" w:eastAsia="黑体"/>
          <w:sz w:val="32"/>
        </w:rPr>
        <w:t xml:space="preserve">  </w:t>
      </w:r>
      <w:r>
        <w:rPr>
          <w:rFonts w:ascii="黑体" w:eastAsia="黑体" w:hint="eastAsia"/>
          <w:sz w:val="32"/>
        </w:rPr>
        <w:t>适用范围</w:t>
      </w:r>
    </w:p>
    <w:p>
      <w:pPr>
        <w:spacing w:line="600" w:lineRule="exact"/>
        <w:rPr>
          <w:rFonts w:ascii="方正仿宋_GBK" w:eastAsia="方正仿宋_GBK" w:hint="eastAsia"/>
          <w:sz w:val="32"/>
          <w:u w:val="single"/>
        </w:rPr>
      </w:pPr>
      <w:r>
        <w:rPr>
          <w:rFonts w:eastAsia="仿宋_GB2312"/>
          <w:sz w:val="32"/>
        </w:rPr>
        <w:t xml:space="preserve">    </w:t>
      </w:r>
      <w:r>
        <w:rPr>
          <w:rFonts w:ascii="方正仿宋_GBK" w:eastAsia="方正仿宋_GBK" w:hint="eastAsia"/>
          <w:sz w:val="32"/>
        </w:rPr>
        <w:t>本备忘录适用于</w:t>
      </w:r>
      <w:r>
        <w:rPr>
          <w:rFonts w:ascii="方正仿宋_GBK" w:eastAsia="方正仿宋_GBK" w:hint="eastAsia"/>
          <w:sz w:val="32"/>
          <w:u w:val="single"/>
        </w:rPr>
        <w:t>XX公司</w:t>
      </w:r>
      <w:r>
        <w:rPr>
          <w:rFonts w:ascii="方正仿宋_GBK" w:eastAsia="方正仿宋_GBK" w:hint="eastAsia"/>
          <w:sz w:val="32"/>
          <w:szCs w:val="32"/>
        </w:rPr>
        <w:t>向关联方</w:t>
      </w:r>
      <w:r>
        <w:rPr>
          <w:rFonts w:ascii="方正仿宋_GBK" w:eastAsia="方正仿宋_GBK" w:hint="eastAsia"/>
          <w:sz w:val="32"/>
          <w:u w:val="single"/>
        </w:rPr>
        <w:t>ABC</w:t>
      </w:r>
      <w:r>
        <w:rPr>
          <w:rFonts w:ascii="方正仿宋_GBK" w:eastAsia="方正仿宋_GBK" w:hint="eastAsia"/>
          <w:sz w:val="32"/>
          <w:szCs w:val="32"/>
        </w:rPr>
        <w:t>等公司采购商品进口价格（成本）的确定。</w:t>
      </w:r>
    </w:p>
    <w:p>
      <w:pPr>
        <w:spacing w:line="600" w:lineRule="exact"/>
        <w:ind w:firstLine="630"/>
        <w:rPr>
          <w:rFonts w:eastAsia="仿宋_GB2312"/>
          <w:sz w:val="32"/>
        </w:rPr>
      </w:pPr>
    </w:p>
    <w:p>
      <w:pPr>
        <w:spacing w:line="600" w:lineRule="exact"/>
        <w:jc w:val="center"/>
        <w:rPr>
          <w:rFonts w:ascii="黑体" w:eastAsia="黑体"/>
          <w:sz w:val="32"/>
        </w:rPr>
      </w:pPr>
      <w:r>
        <w:rPr>
          <w:rFonts w:ascii="黑体" w:eastAsia="黑体" w:hint="eastAsia"/>
          <w:sz w:val="32"/>
        </w:rPr>
        <w:t>第三条</w:t>
      </w:r>
      <w:r>
        <w:rPr>
          <w:rFonts w:ascii="黑体" w:eastAsia="黑体"/>
          <w:sz w:val="32"/>
        </w:rPr>
        <w:t xml:space="preserve">  </w:t>
      </w:r>
      <w:r>
        <w:rPr>
          <w:rFonts w:ascii="黑体" w:eastAsia="黑体" w:hint="eastAsia"/>
          <w:sz w:val="32"/>
        </w:rPr>
        <w:t>适用期间</w:t>
      </w:r>
    </w:p>
    <w:p>
      <w:pPr>
        <w:spacing w:line="600" w:lineRule="exact"/>
        <w:ind w:firstLine="630"/>
        <w:rPr>
          <w:rFonts w:ascii="方正仿宋_GBK" w:eastAsia="方正仿宋_GBK" w:hint="eastAsia"/>
          <w:sz w:val="32"/>
        </w:rPr>
      </w:pPr>
      <w:r>
        <w:rPr>
          <w:rFonts w:ascii="方正仿宋_GBK" w:eastAsia="方正仿宋_GBK" w:hint="eastAsia"/>
          <w:sz w:val="32"/>
        </w:rPr>
        <w:t>本备忘录涉及的关联进口货物协同价格适用于</w:t>
      </w:r>
      <w:r>
        <w:rPr>
          <w:rFonts w:ascii="方正仿宋_GBK" w:eastAsia="方正仿宋_GBK" w:hint="eastAsia"/>
          <w:sz w:val="32"/>
          <w:u w:val="single"/>
        </w:rPr>
        <w:t>20XX</w:t>
      </w:r>
      <w:r>
        <w:rPr>
          <w:rFonts w:ascii="方正仿宋_GBK" w:eastAsia="方正仿宋_GBK" w:hint="eastAsia"/>
          <w:sz w:val="32"/>
        </w:rPr>
        <w:t>年至</w:t>
      </w:r>
      <w:r>
        <w:rPr>
          <w:rFonts w:ascii="方正仿宋_GBK" w:eastAsia="方正仿宋_GBK" w:hint="eastAsia"/>
          <w:sz w:val="32"/>
          <w:u w:val="single"/>
        </w:rPr>
        <w:t>20XX</w:t>
      </w:r>
      <w:r>
        <w:rPr>
          <w:rFonts w:ascii="方正仿宋_GBK" w:eastAsia="方正仿宋_GBK" w:hint="eastAsia"/>
          <w:sz w:val="32"/>
        </w:rPr>
        <w:t>年共三个公历年度。</w:t>
      </w:r>
    </w:p>
    <w:p>
      <w:pPr>
        <w:spacing w:line="600" w:lineRule="exact"/>
        <w:ind w:firstLine="630"/>
        <w:rPr>
          <w:rFonts w:eastAsia="仿宋_GB2312"/>
          <w:sz w:val="32"/>
        </w:rPr>
      </w:pPr>
    </w:p>
    <w:p>
      <w:pPr>
        <w:spacing w:line="600" w:lineRule="exact"/>
        <w:jc w:val="center"/>
        <w:rPr>
          <w:rFonts w:ascii="黑体" w:eastAsia="黑体"/>
          <w:sz w:val="32"/>
        </w:rPr>
      </w:pPr>
      <w:r>
        <w:rPr>
          <w:rFonts w:ascii="黑体" w:eastAsia="黑体" w:hint="eastAsia"/>
          <w:sz w:val="32"/>
        </w:rPr>
        <w:t>第四条</w:t>
      </w:r>
      <w:r>
        <w:rPr>
          <w:rFonts w:ascii="黑体" w:eastAsia="黑体"/>
          <w:sz w:val="32"/>
        </w:rPr>
        <w:t xml:space="preserve">  </w:t>
      </w:r>
      <w:r>
        <w:rPr>
          <w:rFonts w:ascii="黑体" w:eastAsia="黑体" w:hint="eastAsia"/>
          <w:sz w:val="32"/>
        </w:rPr>
        <w:t>关键假设</w:t>
      </w:r>
    </w:p>
    <w:p>
      <w:pPr>
        <w:spacing w:line="600" w:lineRule="exact"/>
        <w:ind w:firstLine="630"/>
        <w:rPr>
          <w:rFonts w:ascii="方正仿宋_GBK" w:eastAsia="方正仿宋_GBK" w:hint="eastAsia"/>
          <w:sz w:val="32"/>
        </w:rPr>
      </w:pPr>
      <w:r>
        <w:rPr>
          <w:rFonts w:ascii="方正仿宋_GBK" w:eastAsia="方正仿宋_GBK" w:hint="eastAsia"/>
          <w:sz w:val="32"/>
        </w:rPr>
        <w:t>本备忘录选用的定价原则和计算方法基于以下假设条件：</w:t>
      </w:r>
    </w:p>
    <w:p>
      <w:pPr>
        <w:spacing w:line="600" w:lineRule="exact"/>
        <w:ind w:firstLine="630"/>
        <w:rPr>
          <w:rFonts w:ascii="方正仿宋_GBK" w:eastAsia="方正仿宋_GBK" w:hint="eastAsia"/>
          <w:sz w:val="32"/>
        </w:rPr>
      </w:pPr>
      <w:r>
        <w:rPr>
          <w:rFonts w:ascii="方正仿宋_GBK" w:eastAsia="方正仿宋_GBK" w:hint="eastAsia"/>
          <w:sz w:val="32"/>
        </w:rPr>
        <w:t>一、申请人经营架构或者其经营活动内容、范围及规模没有发生重大改变。</w:t>
      </w:r>
    </w:p>
    <w:p>
      <w:pPr>
        <w:spacing w:line="600" w:lineRule="exact"/>
        <w:ind w:firstLine="630"/>
        <w:rPr>
          <w:rFonts w:ascii="方正仿宋_GBK" w:eastAsia="方正仿宋_GBK" w:hint="eastAsia"/>
          <w:sz w:val="32"/>
        </w:rPr>
      </w:pPr>
      <w:r>
        <w:rPr>
          <w:rFonts w:ascii="方正仿宋_GBK" w:eastAsia="方正仿宋_GBK" w:hint="eastAsia"/>
          <w:sz w:val="32"/>
        </w:rPr>
        <w:t>二、申请人的经营模式、经济条件、商业活动、执行的职能、承担的风险、使用的资产以及进口货物主要结构、贸易模式与本备忘录的描述在实质上保持不变。</w:t>
      </w:r>
    </w:p>
    <w:p>
      <w:pPr>
        <w:spacing w:line="600" w:lineRule="exact"/>
        <w:ind w:firstLine="630"/>
        <w:rPr>
          <w:rFonts w:ascii="方正仿宋_GBK" w:eastAsia="方正仿宋_GBK" w:hint="eastAsia"/>
          <w:sz w:val="32"/>
        </w:rPr>
      </w:pPr>
      <w:r>
        <w:rPr>
          <w:rFonts w:ascii="方正仿宋_GBK" w:eastAsia="方正仿宋_GBK" w:hint="eastAsia"/>
          <w:sz w:val="32"/>
        </w:rPr>
        <w:t>三、申请人的财务会计方法和分类没有发生重大的改变。</w:t>
      </w:r>
    </w:p>
    <w:p>
      <w:pPr>
        <w:spacing w:line="600" w:lineRule="exact"/>
        <w:ind w:firstLine="630"/>
        <w:rPr>
          <w:rFonts w:ascii="方正仿宋_GBK" w:eastAsia="方正仿宋_GBK" w:hint="eastAsia"/>
          <w:sz w:val="32"/>
        </w:rPr>
      </w:pPr>
      <w:r>
        <w:rPr>
          <w:rFonts w:ascii="方正仿宋_GBK" w:eastAsia="方正仿宋_GBK" w:hint="eastAsia"/>
          <w:sz w:val="32"/>
        </w:rPr>
        <w:t>四、中国内地的会计、税务、海关、外汇等政策规定以及经济环境的变化对本备忘录的执行没有产生重大影响。</w:t>
      </w:r>
    </w:p>
    <w:p>
      <w:pPr>
        <w:spacing w:line="600" w:lineRule="exact"/>
        <w:ind w:firstLine="630"/>
        <w:rPr>
          <w:rFonts w:ascii="方正仿宋_GBK" w:eastAsia="方正仿宋_GBK" w:hint="eastAsia"/>
          <w:sz w:val="32"/>
        </w:rPr>
      </w:pPr>
      <w:r>
        <w:rPr>
          <w:rFonts w:ascii="方正仿宋_GBK" w:eastAsia="方正仿宋_GBK" w:hint="eastAsia"/>
          <w:sz w:val="32"/>
        </w:rPr>
        <w:t>五、在适用期间，没有出现需要申请人承担的重大服务质量问题。</w:t>
      </w:r>
    </w:p>
    <w:p>
      <w:pPr>
        <w:spacing w:line="600" w:lineRule="exact"/>
        <w:ind w:firstLine="630"/>
        <w:rPr>
          <w:rFonts w:ascii="方正仿宋_GBK" w:eastAsia="方正仿宋_GBK" w:hint="eastAsia"/>
          <w:sz w:val="32"/>
        </w:rPr>
      </w:pPr>
      <w:r>
        <w:rPr>
          <w:rFonts w:ascii="方正仿宋_GBK" w:eastAsia="方正仿宋_GBK" w:hint="eastAsia"/>
          <w:sz w:val="32"/>
        </w:rPr>
        <w:t>六、在适用期间，没有出现需要申请人承担的重大法律纠纷或者诉讼。</w:t>
      </w:r>
    </w:p>
    <w:p>
      <w:pPr>
        <w:spacing w:line="600" w:lineRule="exact"/>
        <w:ind w:firstLine="630"/>
        <w:rPr>
          <w:rFonts w:ascii="方正仿宋_GBK" w:eastAsia="方正仿宋_GBK" w:hint="eastAsia"/>
          <w:sz w:val="32"/>
        </w:rPr>
      </w:pPr>
      <w:r>
        <w:rPr>
          <w:rFonts w:ascii="方正仿宋_GBK" w:eastAsia="方正仿宋_GBK" w:hint="eastAsia"/>
          <w:sz w:val="32"/>
        </w:rPr>
        <w:t>七、在适用期间，没有出现影响申请人经营的不可抗力事件。</w:t>
      </w:r>
    </w:p>
    <w:p>
      <w:pPr>
        <w:spacing w:line="600" w:lineRule="exact"/>
        <w:ind w:firstLine="630"/>
        <w:rPr>
          <w:rFonts w:ascii="方正仿宋_GBK" w:eastAsia="方正仿宋_GBK" w:hint="eastAsia"/>
          <w:sz w:val="32"/>
        </w:rPr>
      </w:pPr>
      <w:r>
        <w:rPr>
          <w:rFonts w:ascii="方正仿宋_GBK" w:eastAsia="方正仿宋_GBK" w:hint="eastAsia"/>
          <w:sz w:val="32"/>
        </w:rPr>
        <w:t>在执行期内，若上述假设条件发生变化，申请人应在发生变化之日起30日内书面报告主管海关和主管税务机关，</w:t>
      </w:r>
      <w:r>
        <w:rPr>
          <w:rFonts w:ascii="方正仿宋_GBK" w:eastAsia="方正仿宋_GBK" w:hint="eastAsia"/>
          <w:sz w:val="32"/>
          <w:szCs w:val="32"/>
        </w:rPr>
        <w:t>深圳海关和深圳税务局按照相关规定</w:t>
      </w:r>
      <w:r>
        <w:rPr>
          <w:rFonts w:ascii="方正仿宋_GBK" w:eastAsia="方正仿宋_GBK" w:hint="eastAsia"/>
          <w:sz w:val="32"/>
        </w:rPr>
        <w:t>协商修订或者终止本备忘录。</w:t>
      </w:r>
    </w:p>
    <w:p>
      <w:pPr>
        <w:spacing w:line="600" w:lineRule="exact"/>
        <w:ind w:firstLine="630"/>
        <w:rPr>
          <w:rFonts w:eastAsia="仿宋_GB2312"/>
          <w:sz w:val="32"/>
        </w:rPr>
      </w:pPr>
    </w:p>
    <w:p>
      <w:pPr>
        <w:spacing w:line="600" w:lineRule="exact"/>
        <w:jc w:val="center"/>
        <w:rPr>
          <w:rFonts w:ascii="仿宋_GB2312" w:eastAsia="仿宋_GB2312"/>
          <w:sz w:val="32"/>
          <w:szCs w:val="32"/>
        </w:rPr>
      </w:pPr>
      <w:r>
        <w:rPr>
          <w:rFonts w:ascii="黑体" w:eastAsia="黑体" w:hint="eastAsia"/>
          <w:sz w:val="32"/>
        </w:rPr>
        <w:t>第五条</w:t>
      </w:r>
      <w:r>
        <w:rPr>
          <w:rFonts w:ascii="黑体" w:eastAsia="黑体"/>
          <w:sz w:val="32"/>
        </w:rPr>
        <w:t xml:space="preserve"> </w:t>
      </w:r>
      <w:r>
        <w:rPr>
          <w:rFonts w:ascii="黑体" w:eastAsia="黑体" w:hint="eastAsia"/>
          <w:sz w:val="32"/>
        </w:rPr>
        <w:t xml:space="preserve"> 转让定价方法和海关估价方法</w:t>
      </w:r>
    </w:p>
    <w:p>
      <w:pPr>
        <w:spacing w:line="600" w:lineRule="exact"/>
        <w:ind w:firstLine="630"/>
        <w:rPr>
          <w:rFonts w:ascii="方正仿宋_GBK" w:eastAsia="方正仿宋_GBK" w:hint="eastAsia"/>
          <w:sz w:val="32"/>
        </w:rPr>
      </w:pPr>
      <w:r>
        <w:rPr>
          <w:rFonts w:ascii="方正仿宋_GBK" w:eastAsia="方正仿宋_GBK" w:hint="eastAsia"/>
          <w:sz w:val="32"/>
        </w:rPr>
        <w:t>一、税务转让定价方法：</w:t>
      </w:r>
    </w:p>
    <w:p>
      <w:pPr>
        <w:spacing w:line="600" w:lineRule="exact"/>
        <w:ind w:firstLineChars="150" w:firstLine="480"/>
        <w:rPr>
          <w:rFonts w:ascii="方正仿宋_GBK" w:eastAsia="方正仿宋_GBK" w:cs="楷体_GB2312" w:hint="eastAsia"/>
          <w:bCs/>
          <w:sz w:val="32"/>
          <w:szCs w:val="32"/>
        </w:rPr>
      </w:pPr>
      <w:r>
        <w:rPr>
          <w:rFonts w:ascii="方正仿宋_GBK" w:eastAsia="方正仿宋_GBK" w:cs="楷体_GB2312" w:hint="eastAsia"/>
          <w:bCs/>
          <w:sz w:val="32"/>
          <w:szCs w:val="32"/>
        </w:rPr>
        <w:t>海关估价方法：</w:t>
      </w:r>
    </w:p>
    <w:p>
      <w:pPr>
        <w:spacing w:line="600" w:lineRule="exact"/>
        <w:ind w:firstLine="630"/>
        <w:rPr>
          <w:rFonts w:ascii="方正仿宋_GBK" w:eastAsia="方正仿宋_GBK" w:cs="楷体_GB2312" w:hint="eastAsia"/>
          <w:bCs/>
          <w:sz w:val="32"/>
          <w:szCs w:val="32"/>
        </w:rPr>
      </w:pPr>
    </w:p>
    <w:p>
      <w:pPr>
        <w:spacing w:line="600" w:lineRule="exact"/>
        <w:ind w:firstLine="630"/>
        <w:rPr>
          <w:rFonts w:ascii="方正仿宋_GBK" w:eastAsia="方正仿宋_GBK" w:hint="eastAsia"/>
          <w:sz w:val="32"/>
        </w:rPr>
      </w:pPr>
      <w:r>
        <w:rPr>
          <w:rFonts w:ascii="方正仿宋_GBK" w:eastAsia="方正仿宋_GBK" w:hint="eastAsia"/>
          <w:sz w:val="32"/>
        </w:rPr>
        <w:t>二、财务指标</w:t>
      </w:r>
    </w:p>
    <w:p>
      <w:pPr>
        <w:spacing w:line="600" w:lineRule="exact"/>
        <w:ind w:firstLine="630"/>
        <w:rPr>
          <w:rFonts w:ascii="方正仿宋_GBK" w:eastAsia="方正仿宋_GBK" w:hint="eastAsia"/>
          <w:sz w:val="32"/>
        </w:rPr>
      </w:pPr>
    </w:p>
    <w:p>
      <w:pPr>
        <w:spacing w:line="600" w:lineRule="exact"/>
        <w:ind w:firstLine="630"/>
        <w:rPr>
          <w:rFonts w:ascii="方正仿宋_GBK" w:eastAsia="方正仿宋_GBK" w:hint="eastAsia"/>
          <w:sz w:val="32"/>
        </w:rPr>
      </w:pPr>
      <w:r>
        <w:rPr>
          <w:rFonts w:ascii="方正仿宋_GBK" w:eastAsia="方正仿宋_GBK" w:hint="eastAsia"/>
          <w:sz w:val="32"/>
        </w:rPr>
        <w:t>三、公平交易值域</w:t>
      </w:r>
    </w:p>
    <w:p>
      <w:pPr>
        <w:spacing w:line="600" w:lineRule="exact"/>
        <w:ind w:firstLine="630"/>
        <w:rPr>
          <w:rFonts w:ascii="方正仿宋_GBK" w:eastAsia="方正仿宋_GBK" w:hint="eastAsia"/>
          <w:sz w:val="32"/>
        </w:rPr>
      </w:pPr>
    </w:p>
    <w:p>
      <w:pPr>
        <w:spacing w:line="600" w:lineRule="exact"/>
        <w:jc w:val="center"/>
        <w:rPr>
          <w:rFonts w:ascii="黑体" w:eastAsia="黑体"/>
          <w:sz w:val="32"/>
        </w:rPr>
      </w:pPr>
      <w:r>
        <w:rPr>
          <w:rFonts w:ascii="黑体" w:eastAsia="黑体" w:hint="eastAsia"/>
          <w:sz w:val="32"/>
        </w:rPr>
        <w:t>第六条</w:t>
      </w:r>
      <w:r>
        <w:rPr>
          <w:rFonts w:ascii="黑体" w:eastAsia="黑体"/>
          <w:sz w:val="32"/>
        </w:rPr>
        <w:t xml:space="preserve">  </w:t>
      </w:r>
      <w:r>
        <w:rPr>
          <w:rFonts w:ascii="黑体" w:eastAsia="黑体" w:hint="eastAsia"/>
          <w:sz w:val="32"/>
        </w:rPr>
        <w:t>申请人货物价格调整</w:t>
      </w:r>
    </w:p>
    <w:p>
      <w:pPr>
        <w:spacing w:line="600" w:lineRule="exact"/>
        <w:ind w:firstLine="630"/>
        <w:rPr>
          <w:rFonts w:ascii="方正仿宋_GBK" w:eastAsia="方正仿宋_GBK" w:hint="eastAsia"/>
          <w:sz w:val="32"/>
        </w:rPr>
      </w:pPr>
      <w:r>
        <w:rPr>
          <w:rFonts w:ascii="方正仿宋_GBK" w:eastAsia="方正仿宋_GBK" w:hint="eastAsia"/>
          <w:sz w:val="32"/>
        </w:rPr>
        <w:t>一、在本备忘录适用期间，申请人任何一个年度的实际财务指标应当按照第五条第三款确定的公平交易值域的中位值执行。如低于或者高于中位值的，申请人需按照财务指标中位值进行价格调整。</w:t>
      </w:r>
    </w:p>
    <w:p>
      <w:pPr>
        <w:spacing w:line="600" w:lineRule="exact"/>
        <w:ind w:firstLine="630"/>
        <w:rPr>
          <w:rFonts w:ascii="方正仿宋_GBK" w:eastAsia="方正仿宋_GBK" w:hint="eastAsia"/>
          <w:sz w:val="32"/>
        </w:rPr>
      </w:pPr>
      <w:r>
        <w:rPr>
          <w:rFonts w:ascii="方正仿宋_GBK" w:eastAsia="方正仿宋_GBK" w:hint="eastAsia"/>
          <w:sz w:val="32"/>
        </w:rPr>
        <w:t>二、申请人进行货物价格调整后，应及时告知</w:t>
      </w:r>
      <w:r>
        <w:rPr>
          <w:rFonts w:ascii="方正仿宋_GBK" w:eastAsia="方正仿宋_GBK" w:hint="eastAsia"/>
          <w:sz w:val="32"/>
          <w:szCs w:val="32"/>
        </w:rPr>
        <w:t>主管海关和主管税务局。主管海关和主管税务局根据各自相关规定履行相应程序</w:t>
      </w:r>
      <w:r>
        <w:rPr>
          <w:rFonts w:ascii="方正仿宋_GBK" w:eastAsia="方正仿宋_GBK" w:hint="eastAsia"/>
          <w:sz w:val="32"/>
        </w:rPr>
        <w:t>。</w:t>
      </w:r>
    </w:p>
    <w:p>
      <w:pPr>
        <w:spacing w:line="600" w:lineRule="exact"/>
        <w:rPr>
          <w:rFonts w:ascii="黑体" w:eastAsia="黑体"/>
          <w:sz w:val="32"/>
        </w:rPr>
      </w:pPr>
    </w:p>
    <w:p>
      <w:pPr>
        <w:spacing w:line="600" w:lineRule="exact"/>
        <w:jc w:val="center"/>
        <w:rPr>
          <w:rFonts w:ascii="黑体" w:eastAsia="黑体"/>
          <w:sz w:val="32"/>
        </w:rPr>
      </w:pPr>
      <w:r>
        <w:rPr>
          <w:rFonts w:ascii="黑体" w:eastAsia="黑体" w:hint="eastAsia"/>
          <w:sz w:val="32"/>
        </w:rPr>
        <w:t>第七条</w:t>
      </w:r>
      <w:r>
        <w:rPr>
          <w:rFonts w:ascii="黑体" w:eastAsia="黑体"/>
          <w:sz w:val="32"/>
        </w:rPr>
        <w:t xml:space="preserve">  </w:t>
      </w:r>
      <w:r>
        <w:rPr>
          <w:rFonts w:ascii="黑体" w:eastAsia="黑体" w:hint="eastAsia"/>
          <w:sz w:val="32"/>
        </w:rPr>
        <w:t>年度报告</w:t>
      </w:r>
    </w:p>
    <w:p>
      <w:pPr>
        <w:ind w:firstLineChars="200" w:firstLine="640"/>
        <w:rPr>
          <w:rFonts w:ascii="方正仿宋_GBK" w:eastAsia="方正仿宋_GBK" w:hint="eastAsia"/>
          <w:sz w:val="32"/>
          <w:szCs w:val="32"/>
        </w:rPr>
      </w:pPr>
      <w:r>
        <w:rPr>
          <w:rFonts w:ascii="方正仿宋_GBK" w:eastAsia="方正仿宋_GBK" w:hint="eastAsia"/>
          <w:sz w:val="32"/>
        </w:rPr>
        <w:t>一、在本备忘录适用期间，申请人应在每个年度终了后六个月内按照有关法律法规提交执行情况的年度报告。</w:t>
      </w:r>
      <w:r>
        <w:rPr>
          <w:rFonts w:ascii="方正仿宋_GBK" w:eastAsia="方正仿宋_GBK" w:hint="eastAsia"/>
          <w:sz w:val="32"/>
          <w:szCs w:val="32"/>
        </w:rPr>
        <w:t>年度报告应当说明报告期内企业经营情况以及执行协同管理的情况。提出需要修订、终止协同管理备忘录的，应当一并作出说明。</w:t>
      </w:r>
    </w:p>
    <w:p>
      <w:pPr>
        <w:spacing w:line="600" w:lineRule="exact"/>
        <w:ind w:firstLine="630"/>
        <w:rPr>
          <w:rFonts w:ascii="方正仿宋_GBK" w:eastAsia="方正仿宋_GBK" w:hint="eastAsia"/>
          <w:sz w:val="32"/>
          <w:u w:val="single"/>
        </w:rPr>
      </w:pPr>
      <w:r>
        <w:rPr>
          <w:rFonts w:ascii="方正仿宋_GBK" w:eastAsia="方正仿宋_GBK" w:hint="eastAsia"/>
          <w:sz w:val="32"/>
        </w:rPr>
        <w:t>二、主管海关和主管税务机关应按照相关法律法规，对申请人报送的年度报告进行审核，并视情况做相应处置。</w:t>
      </w:r>
    </w:p>
    <w:p>
      <w:pPr>
        <w:spacing w:line="600" w:lineRule="exact"/>
        <w:ind w:firstLine="630"/>
        <w:rPr>
          <w:rFonts w:eastAsia="仿宋_GB2312"/>
          <w:sz w:val="32"/>
        </w:rPr>
      </w:pPr>
    </w:p>
    <w:p>
      <w:pPr>
        <w:spacing w:line="600" w:lineRule="exact"/>
        <w:jc w:val="center"/>
        <w:rPr>
          <w:rFonts w:ascii="黑体" w:eastAsia="黑体"/>
          <w:sz w:val="32"/>
        </w:rPr>
      </w:pPr>
      <w:r>
        <w:rPr>
          <w:rFonts w:ascii="黑体" w:eastAsia="黑体" w:hint="eastAsia"/>
          <w:sz w:val="32"/>
        </w:rPr>
        <w:t>第八条</w:t>
      </w:r>
      <w:r>
        <w:rPr>
          <w:rFonts w:ascii="黑体" w:eastAsia="黑体"/>
          <w:sz w:val="32"/>
        </w:rPr>
        <w:t xml:space="preserve">  </w:t>
      </w:r>
      <w:r>
        <w:rPr>
          <w:rFonts w:ascii="黑体" w:eastAsia="黑体" w:hint="eastAsia"/>
          <w:sz w:val="32"/>
        </w:rPr>
        <w:t>备忘录的效力</w:t>
      </w:r>
    </w:p>
    <w:p>
      <w:pPr>
        <w:spacing w:line="600" w:lineRule="exact"/>
        <w:ind w:firstLine="630"/>
        <w:rPr>
          <w:rFonts w:ascii="方正仿宋_GBK" w:eastAsia="方正仿宋_GBK" w:hint="eastAsia"/>
          <w:sz w:val="32"/>
        </w:rPr>
      </w:pPr>
      <w:r>
        <w:rPr>
          <w:rFonts w:ascii="方正仿宋_GBK" w:eastAsia="方正仿宋_GBK" w:hint="eastAsia"/>
          <w:sz w:val="32"/>
        </w:rPr>
        <w:t>一、在本备忘录适用期间，三方均应遵照执行。</w:t>
      </w:r>
    </w:p>
    <w:p>
      <w:pPr>
        <w:spacing w:line="600" w:lineRule="exact"/>
        <w:ind w:firstLine="630"/>
        <w:rPr>
          <w:rFonts w:ascii="方正仿宋_GBK" w:eastAsia="方正仿宋_GBK" w:hint="eastAsia"/>
          <w:sz w:val="32"/>
        </w:rPr>
      </w:pPr>
      <w:r>
        <w:rPr>
          <w:rFonts w:ascii="方正仿宋_GBK" w:eastAsia="方正仿宋_GBK" w:hint="eastAsia"/>
          <w:sz w:val="32"/>
        </w:rPr>
        <w:t>二、如</w:t>
      </w:r>
      <w:r>
        <w:rPr>
          <w:rFonts w:ascii="方正仿宋_GBK" w:eastAsia="方正仿宋_GBK"/>
          <w:sz w:val="32"/>
        </w:rPr>
        <w:t>申请人</w:t>
      </w:r>
      <w:r>
        <w:rPr>
          <w:rFonts w:ascii="方正仿宋_GBK" w:eastAsia="方正仿宋_GBK" w:hint="eastAsia"/>
          <w:sz w:val="32"/>
        </w:rPr>
        <w:t>未遵照执行的，主管海关和主管税务机关按照相关规定，协商修订或者终止备忘录。终止备忘录的，主管海关、主管税务机关有权另行确定关联进口货物的完税价格。</w:t>
      </w:r>
    </w:p>
    <w:p>
      <w:pPr>
        <w:spacing w:line="600" w:lineRule="exact"/>
        <w:ind w:firstLine="630"/>
        <w:rPr>
          <w:rFonts w:ascii="方正仿宋_GBK" w:eastAsia="方正仿宋_GBK" w:hint="eastAsia"/>
          <w:sz w:val="32"/>
        </w:rPr>
      </w:pPr>
      <w:r>
        <w:rPr>
          <w:rFonts w:ascii="方正仿宋_GBK" w:eastAsia="方正仿宋_GBK" w:hint="eastAsia"/>
          <w:sz w:val="32"/>
        </w:rPr>
        <w:t>三、本备忘录不作为续签的依据。申请人应当按照有关规定另行提出续签申请。</w:t>
      </w:r>
    </w:p>
    <w:p>
      <w:pPr>
        <w:spacing w:line="600" w:lineRule="exact"/>
        <w:ind w:firstLine="630"/>
        <w:rPr>
          <w:rFonts w:eastAsia="仿宋_GB2312"/>
          <w:sz w:val="32"/>
        </w:rPr>
      </w:pPr>
    </w:p>
    <w:p>
      <w:pPr>
        <w:spacing w:line="600" w:lineRule="exact"/>
        <w:jc w:val="center"/>
        <w:rPr>
          <w:rFonts w:ascii="黑体" w:eastAsia="黑体"/>
          <w:sz w:val="32"/>
        </w:rPr>
      </w:pPr>
      <w:r>
        <w:rPr>
          <w:rFonts w:ascii="黑体" w:eastAsia="黑体" w:hint="eastAsia"/>
          <w:sz w:val="32"/>
        </w:rPr>
        <w:t>第九条</w:t>
      </w:r>
      <w:r>
        <w:rPr>
          <w:rFonts w:ascii="黑体" w:eastAsia="黑体"/>
          <w:sz w:val="32"/>
        </w:rPr>
        <w:t xml:space="preserve">  </w:t>
      </w:r>
      <w:r>
        <w:rPr>
          <w:rFonts w:ascii="黑体" w:eastAsia="黑体" w:hint="eastAsia"/>
          <w:sz w:val="32"/>
        </w:rPr>
        <w:t>争议的解决</w:t>
      </w:r>
    </w:p>
    <w:p>
      <w:pPr>
        <w:spacing w:line="600" w:lineRule="exact"/>
        <w:ind w:firstLine="630"/>
        <w:rPr>
          <w:rFonts w:ascii="方正仿宋_GBK" w:eastAsia="方正仿宋_GBK" w:hint="eastAsia"/>
          <w:sz w:val="32"/>
        </w:rPr>
      </w:pPr>
      <w:r>
        <w:rPr>
          <w:rFonts w:ascii="方正仿宋_GBK" w:eastAsia="方正仿宋_GBK" w:hint="eastAsia"/>
          <w:sz w:val="32"/>
        </w:rPr>
        <w:t>如三方就本备忘录的执行和解释发生分歧，应先协商解决。经协商不能解决的，可以修订或者终止本备忘录。</w:t>
      </w:r>
    </w:p>
    <w:p>
      <w:pPr>
        <w:spacing w:line="600" w:lineRule="exact"/>
        <w:ind w:firstLine="630"/>
        <w:rPr>
          <w:rFonts w:ascii="方正仿宋_GBK" w:eastAsia="方正仿宋_GBK" w:hint="eastAsia"/>
          <w:sz w:val="32"/>
        </w:rPr>
      </w:pPr>
    </w:p>
    <w:p>
      <w:pPr>
        <w:spacing w:line="600" w:lineRule="exact"/>
        <w:jc w:val="center"/>
        <w:rPr>
          <w:rFonts w:ascii="黑体" w:eastAsia="黑体"/>
          <w:sz w:val="32"/>
        </w:rPr>
      </w:pPr>
      <w:r>
        <w:rPr>
          <w:rFonts w:ascii="黑体" w:eastAsia="黑体" w:hint="eastAsia"/>
          <w:sz w:val="32"/>
        </w:rPr>
        <w:t>第十条</w:t>
      </w:r>
      <w:r>
        <w:rPr>
          <w:rFonts w:ascii="黑体" w:eastAsia="黑体"/>
          <w:sz w:val="32"/>
        </w:rPr>
        <w:t xml:space="preserve">  </w:t>
      </w:r>
      <w:r>
        <w:rPr>
          <w:rFonts w:ascii="黑体" w:eastAsia="黑体" w:hint="eastAsia"/>
          <w:sz w:val="32"/>
        </w:rPr>
        <w:t>保密义务和责任</w:t>
      </w:r>
    </w:p>
    <w:p>
      <w:pPr>
        <w:spacing w:line="600" w:lineRule="exact"/>
        <w:ind w:firstLine="630"/>
        <w:rPr>
          <w:rFonts w:ascii="方正仿宋_GBK" w:eastAsia="方正仿宋_GBK" w:hint="eastAsia"/>
          <w:sz w:val="32"/>
        </w:rPr>
      </w:pPr>
      <w:r>
        <w:rPr>
          <w:rFonts w:ascii="方正仿宋_GBK" w:eastAsia="方正仿宋_GBK" w:hint="eastAsia"/>
          <w:sz w:val="32"/>
        </w:rPr>
        <w:t>主管海关和主管税务机关与申请人在本备忘录的谈签及执行过程中获取的信息，三方均负有保密义务。</w:t>
      </w:r>
    </w:p>
    <w:p>
      <w:pPr>
        <w:spacing w:line="600" w:lineRule="exact"/>
        <w:jc w:val="center"/>
        <w:rPr>
          <w:rFonts w:ascii="黑体" w:eastAsia="黑体"/>
          <w:b/>
          <w:sz w:val="32"/>
        </w:rPr>
      </w:pPr>
    </w:p>
    <w:p>
      <w:pPr>
        <w:spacing w:line="600" w:lineRule="exact"/>
        <w:jc w:val="center"/>
        <w:rPr>
          <w:rFonts w:ascii="黑体" w:eastAsia="黑体"/>
          <w:sz w:val="32"/>
        </w:rPr>
      </w:pPr>
      <w:r>
        <w:rPr>
          <w:rFonts w:ascii="黑体" w:eastAsia="黑体" w:hint="eastAsia"/>
          <w:sz w:val="32"/>
        </w:rPr>
        <w:t>第十一条</w:t>
      </w:r>
      <w:r>
        <w:rPr>
          <w:rFonts w:ascii="黑体" w:eastAsia="黑体"/>
          <w:sz w:val="32"/>
        </w:rPr>
        <w:t xml:space="preserve">  </w:t>
      </w:r>
      <w:r>
        <w:rPr>
          <w:rFonts w:ascii="黑体" w:eastAsia="黑体" w:hint="eastAsia"/>
          <w:sz w:val="32"/>
        </w:rPr>
        <w:t>生效、修订与终止</w:t>
      </w:r>
    </w:p>
    <w:p>
      <w:pPr>
        <w:spacing w:line="600" w:lineRule="exact"/>
        <w:ind w:firstLineChars="200" w:firstLine="640"/>
        <w:rPr>
          <w:rFonts w:ascii="方正仿宋_GBK" w:eastAsia="方正仿宋_GBK" w:hint="eastAsia"/>
          <w:sz w:val="32"/>
        </w:rPr>
      </w:pPr>
      <w:r>
        <w:rPr>
          <w:rFonts w:ascii="方正仿宋_GBK" w:eastAsia="方正仿宋_GBK" w:hint="eastAsia"/>
          <w:sz w:val="32"/>
        </w:rPr>
        <w:t>一、本备忘录自三方法定代表人或者其授权代表签字盖章后生效。</w:t>
      </w:r>
    </w:p>
    <w:p>
      <w:pPr>
        <w:spacing w:line="600" w:lineRule="exact"/>
        <w:ind w:firstLine="630"/>
        <w:rPr>
          <w:rFonts w:ascii="方正仿宋_GBK" w:eastAsia="方正仿宋_GBK" w:hint="eastAsia"/>
          <w:sz w:val="32"/>
        </w:rPr>
      </w:pPr>
      <w:r>
        <w:rPr>
          <w:rFonts w:ascii="方正仿宋_GBK" w:eastAsia="方正仿宋_GBK" w:hint="eastAsia"/>
          <w:sz w:val="32"/>
        </w:rPr>
        <w:t>二、</w:t>
      </w:r>
      <w:r>
        <w:rPr>
          <w:rFonts w:ascii="方正仿宋_GBK" w:eastAsia="方正仿宋_GBK"/>
          <w:sz w:val="32"/>
        </w:rPr>
        <w:t>申请人</w:t>
      </w:r>
      <w:r>
        <w:rPr>
          <w:rFonts w:ascii="方正仿宋_GBK" w:eastAsia="方正仿宋_GBK" w:hint="eastAsia"/>
          <w:sz w:val="32"/>
        </w:rPr>
        <w:t>发生实质性变化导致备忘录无法继续适用的，或者</w:t>
      </w:r>
      <w:r>
        <w:rPr>
          <w:rFonts w:ascii="方正仿宋_GBK" w:eastAsia="方正仿宋_GBK" w:hint="eastAsia"/>
          <w:sz w:val="32"/>
          <w:szCs w:val="32"/>
        </w:rPr>
        <w:t>企业提出修订、终止协同管理备忘录的，</w:t>
      </w:r>
      <w:r>
        <w:rPr>
          <w:rFonts w:ascii="方正仿宋_GBK" w:eastAsia="方正仿宋_GBK" w:hint="eastAsia"/>
          <w:sz w:val="32"/>
        </w:rPr>
        <w:t>主管海关和主管税务机关按照相关规定，协商修订或者终止备忘录。</w:t>
      </w:r>
    </w:p>
    <w:p>
      <w:pPr>
        <w:pStyle w:val="16"/>
        <w:spacing w:line="600" w:lineRule="exact"/>
        <w:ind w:firstLineChars="200" w:firstLine="420"/>
      </w:pPr>
    </w:p>
    <w:p>
      <w:pPr>
        <w:spacing w:line="600" w:lineRule="exact"/>
        <w:jc w:val="center"/>
        <w:rPr>
          <w:rFonts w:ascii="黑体" w:eastAsia="黑体"/>
          <w:sz w:val="32"/>
        </w:rPr>
      </w:pPr>
      <w:r>
        <w:rPr>
          <w:rFonts w:ascii="黑体" w:eastAsia="黑体" w:hint="eastAsia"/>
          <w:sz w:val="32"/>
        </w:rPr>
        <w:t>第十二条</w:t>
      </w:r>
      <w:r>
        <w:rPr>
          <w:rFonts w:ascii="黑体" w:eastAsia="黑体"/>
          <w:sz w:val="32"/>
        </w:rPr>
        <w:t xml:space="preserve">  </w:t>
      </w:r>
      <w:r>
        <w:rPr>
          <w:rFonts w:ascii="黑体" w:eastAsia="黑体" w:hint="eastAsia"/>
          <w:sz w:val="32"/>
        </w:rPr>
        <w:t>附则</w:t>
      </w:r>
    </w:p>
    <w:p>
      <w:pPr>
        <w:spacing w:line="600" w:lineRule="exact"/>
        <w:ind w:firstLine="630"/>
        <w:rPr>
          <w:rFonts w:ascii="方正仿宋_GBK" w:eastAsia="方正仿宋_GBK" w:hint="eastAsia"/>
          <w:sz w:val="32"/>
        </w:rPr>
      </w:pPr>
      <w:r>
        <w:rPr>
          <w:rFonts w:ascii="方正仿宋_GBK" w:eastAsia="方正仿宋_GBK" w:hint="eastAsia"/>
          <w:sz w:val="32"/>
        </w:rPr>
        <w:t>一、本备忘录应当使用中文，一式三份，主管海关、主管税务机关与申请人各执一份。</w:t>
      </w:r>
    </w:p>
    <w:p>
      <w:pPr>
        <w:spacing w:line="600" w:lineRule="exact"/>
        <w:ind w:firstLine="630"/>
        <w:rPr>
          <w:rFonts w:ascii="方正仿宋_GBK" w:eastAsia="方正仿宋_GBK" w:hint="eastAsia"/>
          <w:sz w:val="32"/>
        </w:rPr>
      </w:pPr>
      <w:r>
        <w:rPr>
          <w:rFonts w:ascii="方正仿宋_GBK" w:eastAsia="方正仿宋_GBK" w:hint="eastAsia"/>
          <w:sz w:val="32"/>
        </w:rPr>
        <w:t>二、与本备忘录同步做出的海关价格预裁定、税务预约定价安排的文本作为本备忘录的附件。</w:t>
      </w:r>
    </w:p>
    <w:p>
      <w:pPr>
        <w:spacing w:line="600" w:lineRule="exact"/>
        <w:ind w:firstLine="630"/>
        <w:rPr>
          <w:rFonts w:ascii="方正仿宋_GBK" w:eastAsia="方正仿宋_GBK" w:hint="eastAsia"/>
          <w:sz w:val="32"/>
        </w:rPr>
      </w:pPr>
    </w:p>
    <w:p>
      <w:pPr>
        <w:spacing w:line="600" w:lineRule="exact"/>
        <w:ind w:firstLine="630"/>
        <w:rPr>
          <w:rFonts w:ascii="方正仿宋_GBK" w:eastAsia="方正仿宋_GBK" w:hint="eastAsia"/>
          <w:sz w:val="32"/>
        </w:rPr>
      </w:pPr>
      <w:r>
        <w:rPr>
          <w:rFonts w:ascii="方正仿宋_GBK" w:eastAsia="方正仿宋_GBK" w:hint="eastAsia"/>
          <w:sz w:val="32"/>
        </w:rPr>
        <w:t>附件：1. 预约定价安排文本；</w:t>
      </w:r>
    </w:p>
    <w:p>
      <w:pPr>
        <w:spacing w:line="600" w:lineRule="exact"/>
        <w:ind w:firstLine="630"/>
        <w:rPr>
          <w:rFonts w:ascii="方正仿宋_GBK" w:eastAsia="方正仿宋_GBK" w:hint="eastAsia"/>
          <w:sz w:val="32"/>
        </w:rPr>
      </w:pPr>
      <w:r>
        <w:rPr>
          <w:rFonts w:ascii="方正仿宋_GBK" w:eastAsia="方正仿宋_GBK" w:hint="eastAsia"/>
          <w:sz w:val="32"/>
        </w:rPr>
        <w:t xml:space="preserve">      2. 海关价格预裁定文本</w:t>
      </w:r>
    </w:p>
    <w:p>
      <w:pPr>
        <w:spacing w:line="600" w:lineRule="exact"/>
        <w:ind w:firstLine="630"/>
        <w:rPr>
          <w:rFonts w:eastAsia="仿宋_GB2312"/>
          <w:sz w:val="32"/>
        </w:rPr>
      </w:pPr>
    </w:p>
    <w:p>
      <w:pPr>
        <w:ind w:firstLineChars="150" w:firstLine="480"/>
        <w:rPr>
          <w:rFonts w:ascii="仿宋_GB2312" w:eastAsia="仿宋_GB2312"/>
          <w:b/>
          <w:sz w:val="32"/>
          <w:szCs w:val="32"/>
        </w:rPr>
      </w:pPr>
      <w:r>
        <w:rPr>
          <w:rFonts w:ascii="仿宋_GB2312" w:eastAsia="仿宋_GB2312" w:hint="eastAsia"/>
          <w:b/>
          <w:sz w:val="32"/>
          <w:szCs w:val="32"/>
        </w:rPr>
        <w:t>备忘录各方：</w:t>
      </w:r>
    </w:p>
    <w:p>
      <w:pPr>
        <w:ind w:firstLineChars="150" w:firstLine="480"/>
        <w:rPr>
          <w:rFonts w:ascii="仿宋_GB2312" w:eastAsia="仿宋_GB2312"/>
          <w:b/>
          <w:sz w:val="32"/>
          <w:szCs w:val="32"/>
        </w:rPr>
      </w:pPr>
    </w:p>
    <w:p>
      <w:pPr>
        <w:ind w:firstLineChars="150" w:firstLine="480"/>
        <w:rPr>
          <w:rFonts w:ascii="方正仿宋_GBK" w:eastAsia="方正仿宋_GBK" w:hint="eastAsia"/>
          <w:sz w:val="32"/>
        </w:rPr>
      </w:pPr>
      <w:r>
        <w:rPr>
          <w:rFonts w:ascii="方正仿宋_GBK" w:eastAsia="方正仿宋_GBK" w:hint="eastAsia"/>
          <w:sz w:val="32"/>
        </w:rPr>
        <w:t>中华人民共和国深圳海关</w:t>
      </w:r>
    </w:p>
    <w:p>
      <w:pPr>
        <w:ind w:firstLineChars="150" w:firstLine="480"/>
        <w:rPr>
          <w:rFonts w:ascii="方正仿宋_GBK" w:eastAsia="方正仿宋_GBK" w:hint="eastAsia"/>
          <w:sz w:val="32"/>
          <w:szCs w:val="32"/>
        </w:rPr>
      </w:pPr>
      <w:r>
        <w:rPr>
          <w:rFonts w:ascii="方正仿宋_GBK" w:eastAsia="方正仿宋_GBK" w:hint="eastAsia"/>
          <w:sz w:val="32"/>
          <w:szCs w:val="32"/>
        </w:rPr>
        <w:t>授权代表：</w:t>
      </w:r>
    </w:p>
    <w:p>
      <w:pPr>
        <w:ind w:firstLineChars="150" w:firstLine="480"/>
        <w:rPr>
          <w:rFonts w:ascii="方正仿宋_GBK" w:eastAsia="方正仿宋_GBK" w:hint="eastAsia"/>
          <w:sz w:val="32"/>
          <w:szCs w:val="32"/>
        </w:rPr>
      </w:pPr>
      <w:r>
        <w:rPr>
          <w:rFonts w:ascii="方正仿宋_GBK" w:eastAsia="方正仿宋_GBK" w:hint="eastAsia"/>
          <w:sz w:val="32"/>
          <w:szCs w:val="32"/>
        </w:rPr>
        <w:t>日期：</w:t>
      </w:r>
    </w:p>
    <w:p>
      <w:pPr>
        <w:rPr>
          <w:rFonts w:ascii="方正仿宋_GBK" w:eastAsia="方正仿宋_GBK" w:hint="eastAsia"/>
          <w:sz w:val="32"/>
          <w:szCs w:val="32"/>
        </w:rPr>
      </w:pPr>
    </w:p>
    <w:p>
      <w:pPr>
        <w:ind w:firstLineChars="150" w:firstLine="480"/>
        <w:rPr>
          <w:rFonts w:ascii="方正仿宋_GBK" w:eastAsia="方正仿宋_GBK" w:hint="eastAsia"/>
          <w:sz w:val="32"/>
          <w:szCs w:val="32"/>
        </w:rPr>
      </w:pPr>
      <w:r>
        <w:rPr>
          <w:rFonts w:ascii="方正仿宋_GBK" w:eastAsia="方正仿宋_GBK" w:hint="eastAsia"/>
          <w:sz w:val="32"/>
          <w:szCs w:val="32"/>
        </w:rPr>
        <w:t>国家税务总局深圳市税务局</w:t>
      </w:r>
    </w:p>
    <w:p>
      <w:pPr>
        <w:ind w:firstLineChars="150" w:firstLine="480"/>
        <w:rPr>
          <w:rFonts w:ascii="方正仿宋_GBK" w:eastAsia="方正仿宋_GBK" w:hint="eastAsia"/>
          <w:sz w:val="32"/>
          <w:szCs w:val="32"/>
        </w:rPr>
      </w:pPr>
      <w:r>
        <w:rPr>
          <w:rFonts w:ascii="方正仿宋_GBK" w:eastAsia="方正仿宋_GBK" w:hint="eastAsia"/>
          <w:sz w:val="32"/>
          <w:szCs w:val="32"/>
        </w:rPr>
        <w:t>授权代表：</w:t>
      </w:r>
    </w:p>
    <w:p>
      <w:pPr>
        <w:ind w:firstLineChars="150" w:firstLine="480"/>
        <w:rPr>
          <w:rFonts w:ascii="方正仿宋_GBK" w:eastAsia="方正仿宋_GBK" w:hint="eastAsia"/>
          <w:sz w:val="32"/>
          <w:szCs w:val="32"/>
        </w:rPr>
      </w:pPr>
      <w:r>
        <w:rPr>
          <w:rFonts w:ascii="方正仿宋_GBK" w:eastAsia="方正仿宋_GBK" w:hint="eastAsia"/>
          <w:sz w:val="32"/>
          <w:szCs w:val="32"/>
        </w:rPr>
        <w:t>日期：</w:t>
      </w:r>
    </w:p>
    <w:p>
      <w:pPr>
        <w:ind w:firstLineChars="150" w:firstLine="480"/>
        <w:rPr>
          <w:rFonts w:ascii="方正仿宋_GBK" w:eastAsia="方正仿宋_GBK" w:hint="eastAsia"/>
          <w:sz w:val="32"/>
          <w:szCs w:val="32"/>
        </w:rPr>
      </w:pPr>
    </w:p>
    <w:p>
      <w:pPr>
        <w:ind w:firstLineChars="150" w:firstLine="480"/>
        <w:rPr>
          <w:rFonts w:ascii="方正仿宋_GBK" w:eastAsia="方正仿宋_GBK" w:hint="eastAsia"/>
          <w:sz w:val="32"/>
          <w:u w:val="single"/>
        </w:rPr>
      </w:pPr>
      <w:r>
        <w:rPr>
          <w:rFonts w:ascii="方正仿宋_GBK" w:eastAsia="方正仿宋_GBK" w:hint="eastAsia"/>
          <w:sz w:val="32"/>
          <w:u w:val="single"/>
        </w:rPr>
        <w:t>XX公司</w:t>
      </w:r>
    </w:p>
    <w:p>
      <w:pPr>
        <w:ind w:firstLineChars="150" w:firstLine="480"/>
        <w:rPr>
          <w:rFonts w:ascii="方正仿宋_GBK" w:eastAsia="方正仿宋_GBK" w:hint="eastAsia"/>
          <w:sz w:val="32"/>
          <w:szCs w:val="32"/>
        </w:rPr>
      </w:pPr>
      <w:r>
        <w:rPr>
          <w:rFonts w:ascii="方正仿宋_GBK" w:eastAsia="方正仿宋_GBK" w:hint="eastAsia"/>
          <w:sz w:val="32"/>
          <w:szCs w:val="32"/>
        </w:rPr>
        <w:t>授权代表：</w:t>
      </w:r>
    </w:p>
    <w:p>
      <w:pPr>
        <w:ind w:firstLineChars="150" w:firstLine="480"/>
        <w:rPr>
          <w:rFonts w:ascii="方正仿宋_GBK" w:eastAsia="方正仿宋_GBK" w:hint="eastAsia"/>
          <w:sz w:val="32"/>
          <w:szCs w:val="32"/>
        </w:rPr>
      </w:pPr>
      <w:r>
        <w:rPr>
          <w:rFonts w:ascii="方正仿宋_GBK" w:eastAsia="方正仿宋_GBK" w:hint="eastAsia"/>
          <w:sz w:val="32"/>
          <w:szCs w:val="32"/>
        </w:rPr>
        <w:t>日期：</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0000000000000000000"/>
    <w:charset w:val="00"/>
    <w:family w:val="auto"/>
    <w:pitch w:val="variable"/>
    <w:sig w:usb0="00000000" w:usb1="00000000" w:usb2="00000000"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Times New Roman"/>
    <w:panose1 w:val="00000000000000000000"/>
    <w:charset w:val="00"/>
    <w:family w:val="auto"/>
    <w:pitch w:val="variable"/>
    <w:sig w:usb0="00000000" w:usb1="00000000" w:usb2="00000000" w:usb3="00000000" w:csb0="00000000" w:csb1="00000000"/>
  </w:font>
  <w:font w:name="方正仿宋_GBK">
    <w:panose1 w:val="03000509000000000000"/>
    <w:charset w:val="86"/>
    <w:family w:val="script"/>
    <w:pitch w:val="variable"/>
    <w:sig w:usb0="00000001" w:usb1="080E0000" w:usb2="00000010" w:usb3="00000000" w:csb0="00040000" w:csb1="00000000"/>
  </w:font>
  <w:font w:name="楷体_GB2312">
    <w:altName w:val="楷体"/>
    <w:panose1 w:val="00000000000000000000"/>
    <w:charset w:val="86"/>
    <w:family w:val="modern"/>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jc w:val="center"/>
    </w:pPr>
    <w:r>
      <w:fldChar w:fldCharType="begin"/>
    </w:r>
    <w:r>
      <w:instrText xml:space="preserve"> PAGE   \* MERGEFORMAT </w:instrText>
    </w:r>
    <w:r>
      <w:fldChar w:fldCharType="separate"/>
    </w:r>
    <w:r>
      <w:rPr>
        <w:lang w:val="zh-CN"/>
      </w:rPr>
      <w:t>1</w:t>
    </w:r>
    <w:r>
      <w:rPr>
        <w:lang w:val="zh-CN"/>
      </w:rPr>
      <w:fldChar w:fldCharType="end"/>
    </w:r>
  </w:p>
  <w:p>
    <w:pPr>
      <w:pStyle w:val="15"/>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kern w:val="0"/>
      <w:sz w:val="18"/>
      <w:szCs w:val="18"/>
    </w:rPr>
  </w:style>
  <w:style w:type="paragraph" w:styleId="16">
    <w:name w:val="Body Text"/>
    <w:basedOn w:val="0"/>
    <w:pPr>
      <w:spacing w:after="120"/>
    </w:pPr>
    <w:rPr>
      <w:rFonts w:ascii="Calibri" w:eastAsia="宋体" w:cs="Arial" w:hAnsi="Calibri"/>
      <w:szCs w:val="21"/>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96</TotalTime>
  <Application>Yozo_Office</Application>
  <Pages>6</Pages>
  <Words>1760</Words>
  <Characters>1815</Characters>
  <Lines>129</Lines>
  <Paragraphs>63</Paragraphs>
  <CharactersWithSpaces>1866</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姚青凌</dc:creator>
  <cp:lastModifiedBy>姚青凌</cp:lastModifiedBy>
  <cp:revision>3</cp:revision>
  <dcterms:created xsi:type="dcterms:W3CDTF">2021-08-10T06:53:00Z</dcterms:created>
  <dcterms:modified xsi:type="dcterms:W3CDTF">2022-05-05T02:56:49Z</dcterms:modified>
</cp:coreProperties>
</file>