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202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年度顺义区支持企业智能转型升级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项目申报指南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ascii="方正小标宋简体" w:hAnsi="Calibri" w:eastAsia="方正小标宋简体" w:cs="Times New Roman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为贯彻落实制造强国战略，促进高精尖产业发展，深入推进北京创新产业集群示范区建设，加快发展智能制造，推动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全区制造业转型升级与提质增效，根据《顺义区智能制造三年行动计划（2020-2022年）》（顺政发〔</w:t>
      </w:r>
      <w:r>
        <w:rPr>
          <w:rFonts w:ascii="仿宋_GB2312" w:hAnsi="仿宋_GB2312" w:eastAsia="仿宋_GB2312" w:cs="仿宋_GB2312"/>
          <w:sz w:val="32"/>
          <w:szCs w:val="32"/>
        </w:rPr>
        <w:t>2020〕34号）《顺义区关于支持智能制造加快发展的若干措施》（顺政发〔2020〕35号</w:t>
      </w:r>
      <w:r>
        <w:rPr>
          <w:rFonts w:hint="eastAsia" w:ascii="仿宋_GB2312" w:hAnsi="仿宋_GB2312" w:eastAsia="仿宋_GB2312" w:cs="仿宋_GB2312"/>
          <w:sz w:val="32"/>
          <w:szCs w:val="32"/>
        </w:rPr>
        <w:t>）等相关要求，指导相关单位申报顺义区支持企业智能转型升级项目，特制定此申报指南。具体如下：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29"/>
        <w:textAlignment w:val="auto"/>
        <w:outlineLvl w:val="0"/>
        <w:rPr>
          <w:rFonts w:hint="eastAsia" w:ascii="仿宋" w:hAnsi="仿宋" w:eastAsia="黑体"/>
          <w:b/>
          <w:sz w:val="32"/>
          <w:szCs w:val="32"/>
          <w:lang w:eastAsia="zh-CN"/>
        </w:rPr>
      </w:pPr>
      <w:r>
        <w:rPr>
          <w:rFonts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</w:rPr>
        <w:t>支持</w:t>
      </w: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范围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我区构建主导产业新格局的高精尖产业已建成项目，包括新能源智能汽车、第三代半导体、航空航天三大创新型产业集群以及新一代信息技术、医药健康、智能装备、都市等其他高精尖产业领域，重点支持企业开展智能制造装备及工业软件应用、智能单元与智能产线改造、数字化车间与智能工厂改造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（一）支持智能制造装备、工业软件工程化应用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持内容包括高档数控机床与工业机器人、增材制造装备、智能传感与控制装备、智能检测与装配、智能仓储物流等关键技术装备及配套系统软件，智能制造设计、仿真、生产运行管理、质量追溯管理等核心工业软件，以及现场工程化应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（二）支持智能制造单元、智能产线建设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持内容包括智能制造整体规划、自动化设备与软件系统、网络设施与布局、信息系统、数据管理与应用、生产制造、仓储物流、精益改善、全过程质量、环境健康安全、能源管控、安全设施建设、生产制造过程智能管理与决策集成化管理平台、跨企业集成化协同制造平台等集成应用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3" w:firstLineChars="200"/>
        <w:jc w:val="both"/>
        <w:textAlignment w:val="auto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（三）支持数字化车间、智能工厂建设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"/>
          <w:sz w:val="32"/>
          <w:szCs w:val="32"/>
        </w:rPr>
        <w:t>数字化车间包括采用智能制造支撑工业软件、工业互联网系统与设备、核心技术装备，开展车间总体设计、车间级工业通信网络、车间数字化设计与工艺仿真、产品数据管理系统（PDM）、安全设施建设等，应用工业安全管理技术与产品，建立基于工业云和工业大数据的智能服务，实现制造过程现场数据自动化采集与可视化，以及计划、调度、检测、生产、能效的全过程闭环管理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智能工厂包括采用智能制造支撑工业软件、核心技术装备、工业互联网、信息安全系统与设备、工业云和工业大数据平台、安全设施建设等，开展工厂总体设计、工艺流程及布局数字化建模、仿真与优化，构建工厂互联互通通信网络，建立功能安全、信息安全等技术防护体系，实现现场数据与生产管理软件自动化数据采集、集成与可视化，以及车间制造执行系统（MES）、产品全生命周期管理系统（PLM）、企业资源计划系统（ERP）高效协同与集成、智能决策支持，拓展人工智能的探索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29"/>
        <w:textAlignment w:val="auto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二、考核</w:t>
      </w:r>
      <w:r>
        <w:rPr>
          <w:rFonts w:ascii="黑体" w:hAnsi="黑体" w:eastAsia="黑体" w:cs="黑体"/>
          <w:bCs/>
          <w:sz w:val="32"/>
          <w:szCs w:val="32"/>
        </w:rPr>
        <w:t>指标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对于智能制造装备/软件工程化应用项目、智能制造单元/智能产线项目、数字化车间/智能工厂项目的考核指标分别如下表：</w:t>
      </w:r>
    </w:p>
    <w:p>
      <w:pPr>
        <w:ind w:firstLine="0" w:firstLineChars="0"/>
        <w:jc w:val="center"/>
        <w:rPr>
          <w:rFonts w:ascii="方正小标宋简体" w:hAnsi="方正小标宋简体" w:eastAsia="方正小标宋简体" w:cs="方正小标宋简体"/>
          <w:sz w:val="28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表1</w:t>
      </w:r>
      <w:r>
        <w:rPr>
          <w:rFonts w:ascii="方正小标宋简体" w:hAnsi="方正小标宋简体" w:eastAsia="方正小标宋简体" w:cs="方正小标宋简体"/>
          <w:sz w:val="28"/>
          <w:szCs w:val="30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智能制造装备/软件工程化应用项目考核指标</w:t>
      </w:r>
    </w:p>
    <w:tbl>
      <w:tblPr>
        <w:tblStyle w:val="10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83"/>
        <w:gridCol w:w="556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评审内容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11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项目政策符合性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产业领域不属于《北京市新增产业的禁止和限制目录（2018年版）》和《北京市工业污染行业、生产工艺调整退出及设备淘汰目录(2017年版)》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目标产品属于本《细则》中汽车交通、电子信息、智能装备、生物医药、都市产业、新材料等领域确定的重要方向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482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项目发展方向符合《北京市鼓励发展的高精尖产品目录（2016年版）》、《北京市工业企业技术改造指导目录（2016年）》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企业目前发展痛点分析的客观性、全面性和深刻性，项目实施的必要性、迫切性（企业智能化转型升级需求程度）、项目场景描述的清晰度、项目可行性及收益及分析的合理性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总体目标与任务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智能制造设备、软件应用种类（高档数控机床与机器人、智能传感与控制装备、智能检测与装配装备、智能物流与仓储装备、增材制造装备等）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提供说明与相关证明材料、第三方评估等。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right="-111" w:rightChars="-53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应用装备、软件的技术先进性、实效性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项目实施方案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设备与软件系统应用实施技术路线清晰、可实施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根据技术方案开展行业专家评议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76" w:rightChars="-36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应用完整的智能化转型升级系统解决方案,技术指标达到行业或国内领先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76" w:rightChars="-36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项目建设方案具备完整性、可复制性、可推广性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项目的技术难点和主要创新点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项目建设完成后实现的绩效指标达成情况、经济效益、社会效益等。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经费概算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投资构成的合理性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提供采购合同、应用报告、第三方评估等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采用设备、软件的比重（按投入金额计算）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spacing w:after="120"/>
        <w:ind w:firstLine="280" w:firstLineChars="100"/>
        <w:jc w:val="center"/>
        <w:rPr>
          <w:rFonts w:ascii="方正小标宋简体" w:hAnsi="方正小标宋简体" w:eastAsia="方正小标宋简体" w:cs="方正小标宋简体"/>
          <w:sz w:val="28"/>
          <w:szCs w:val="30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表</w:t>
      </w:r>
      <w:r>
        <w:rPr>
          <w:rFonts w:ascii="方正小标宋简体" w:hAnsi="方正小标宋简体" w:eastAsia="方正小标宋简体" w:cs="方正小标宋简体"/>
          <w:sz w:val="28"/>
          <w:szCs w:val="30"/>
        </w:rPr>
        <w:t xml:space="preserve">2  </w:t>
      </w: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智能制造单元/智能产线项目考核指标</w:t>
      </w:r>
    </w:p>
    <w:tbl>
      <w:tblPr>
        <w:tblStyle w:val="10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83"/>
        <w:gridCol w:w="5567"/>
        <w:gridCol w:w="1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评审内容 </w:t>
            </w: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项目政策符合性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产业领域不属于《北京市新增产业的禁止和限制目录（2018年版）》和《北京市工业污染行业、生产工艺调整退出及设备淘汰目录(2017年版)》</w:t>
            </w:r>
          </w:p>
        </w:tc>
        <w:tc>
          <w:tcPr>
            <w:tcW w:w="1430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目标产品属于本《细则》中汽车交通、电子信息、智能装备、生物医药、都市产业、新材料等领域方向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项目发展方向符合《北京市鼓励发展的高精尖产品目录（2016年版）》、《北京市工业企业技术改造指导目录（2016年）》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企业目前发展痛点分析的客观性、全面性和深刻性，项目实施的必要性、迫切性（企业智能化转型升级需求程度）、项目场景描述的清晰度、项目可行性及收益及分析的合理性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总体目标与任务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实现如下指标1项以上：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人均机器人拥有量。企业拥有机器人数量/企业生产人数,较原水平提高10%。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关键工序数控化率。数控化的关键生产工序数量/关键生产工序总数量×100%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改造前低于70%，提高5个百分点以上；改造前大于等于70%，提高3个百分点以上。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生产设备联网率。联网的生产设备数量/生产设备总数量×100%，改造前低于70%，提高5个百分点以上；改造前大于等于70%，提高3个百分点以上。</w:t>
            </w:r>
          </w:p>
          <w:p>
            <w:pPr>
              <w:pStyle w:val="13"/>
              <w:widowControl/>
              <w:numPr>
                <w:ilvl w:val="0"/>
                <w:numId w:val="1"/>
              </w:numPr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全员劳动生产率。单位时间内生产的产品数量，即：劳动生产率＝产品数量/生产时间；或核算周期内单位员工创造的销售额进行计算，即：劳动生产率＝核算周期内销售额／企业员工人数平均人数。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较原水平提高5%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61" w:rightChars="-29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提供说明、相关证明材料、第三方评估等。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right="-111" w:rightChars="-53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项目技术路线先进性、实效性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项目实施方案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智能制造单元/产线整体技术路线清晰、可实施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根据技术方案开展行业专家评议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应用智能制造关键技术装备、核心软件的情况</w:t>
            </w: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应用完整的智能化转型升级系统解决方案,技术指标达到行业或国内领先</w:t>
            </w:r>
          </w:p>
        </w:tc>
        <w:tc>
          <w:tcPr>
            <w:tcW w:w="143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76" w:rightChars="-36" w:firstLine="0" w:firstLineChars="0"/>
              <w:jc w:val="left"/>
              <w:rPr>
                <w:rFonts w:ascii="仿宋_GB2312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项目建设方案具备完整性、可复制性、可推广性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项目的技术难点和主要创新点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项目建设完成后实现的绩效指标达成情况、经济效益、社会效益等。</w:t>
            </w:r>
          </w:p>
        </w:tc>
        <w:tc>
          <w:tcPr>
            <w:tcW w:w="143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经费概算</w:t>
            </w: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投资构成的合理性</w:t>
            </w:r>
          </w:p>
        </w:tc>
        <w:tc>
          <w:tcPr>
            <w:tcW w:w="14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提供采购合同、应用报告、第三方评估等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采用设备、软件的比重（按投入金额计算）</w:t>
            </w:r>
          </w:p>
        </w:tc>
        <w:tc>
          <w:tcPr>
            <w:tcW w:w="1430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</w:tbl>
    <w:p>
      <w:pPr>
        <w:pStyle w:val="2"/>
        <w:ind w:firstLine="0" w:firstLineChars="0"/>
      </w:pPr>
    </w:p>
    <w:p>
      <w:pPr>
        <w:spacing w:after="120"/>
        <w:ind w:firstLine="280" w:firstLineChars="100"/>
        <w:jc w:val="center"/>
      </w:pP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表</w:t>
      </w:r>
      <w:r>
        <w:rPr>
          <w:rFonts w:ascii="方正小标宋简体" w:hAnsi="方正小标宋简体" w:eastAsia="方正小标宋简体" w:cs="方正小标宋简体"/>
          <w:sz w:val="28"/>
          <w:szCs w:val="30"/>
        </w:rPr>
        <w:t xml:space="preserve">3  </w:t>
      </w:r>
      <w:r>
        <w:rPr>
          <w:rFonts w:hint="eastAsia" w:ascii="方正小标宋简体" w:hAnsi="方正小标宋简体" w:eastAsia="方正小标宋简体" w:cs="方正小标宋简体"/>
          <w:sz w:val="28"/>
          <w:szCs w:val="30"/>
        </w:rPr>
        <w:t>数字化车间/智能工厂项目考核指标</w:t>
      </w:r>
    </w:p>
    <w:tbl>
      <w:tblPr>
        <w:tblStyle w:val="10"/>
        <w:tblW w:w="90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1"/>
        <w:gridCol w:w="1483"/>
        <w:gridCol w:w="5552"/>
        <w:gridCol w:w="1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序号</w:t>
            </w:r>
          </w:p>
        </w:tc>
        <w:tc>
          <w:tcPr>
            <w:tcW w:w="70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 xml:space="preserve">评审内容 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考核方式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1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项目政策符合性</w:t>
            </w: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产业领域不属于《北京市新增产业的禁止和限制目录（2018年版）》和《北京市工业污染行业、生产工艺调整退出及设备淘汰目录(2017年版)》</w:t>
            </w:r>
          </w:p>
        </w:tc>
        <w:tc>
          <w:tcPr>
            <w:tcW w:w="1445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专家评审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目标产品属于本《细则》中汽车交通、电子信息、智能装备、生物医药、都市产业、新材料等领域确定的重要方向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项目发展方向符合《北京市鼓励发展的高精尖产品目录（2016年版）》、《北京市工业企业技术改造指导目录（2016年）》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企业目前发展痛点分析的客观性、全面性和深刻性，项目实施的必要性、迫切性（企业智能化转型升级需求程度）、项目场景描述的清晰度、项目可行性及收益及分析的合理性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ascii="仿宋_GB2312" w:hAnsi="仿宋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2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总体目标与任务</w:t>
            </w: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实现如下指标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项（含）以上：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420" w:hanging="42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人均机器人拥有量.企业拥有机器人数量/企业生产人数,较原水平提高10%。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420" w:hanging="42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关键工序数控化率。数控化的关键生产工序数量/关键生产工序总数量×100%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改造前低于70%，提高5个百分点以上；改造前大于等于70%，提高3个百分点以上。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420" w:hanging="42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生产设备联网率。联网的生产设备数量/生产设备总数量×100%，改造前低于70%，提高5个百分点以上；改造前大于等于70%，提高3个百分点以上。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420" w:hanging="42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企业全员劳动生产率。单位时间内生产的产品数量，即：劳动生产率＝产品数量/生产时间；或核算周期内单位员工创造的销售额进行计算，即：劳动生产率＝核算周期内销售额／企业员工人数平均人数。</w:t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ab/>
            </w: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较原水平提高5%</w:t>
            </w:r>
          </w:p>
          <w:p>
            <w:pPr>
              <w:pStyle w:val="13"/>
              <w:widowControl/>
              <w:numPr>
                <w:ilvl w:val="0"/>
                <w:numId w:val="2"/>
              </w:numPr>
              <w:spacing w:line="240" w:lineRule="auto"/>
              <w:ind w:left="420" w:hanging="42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产品研发设计周期。产品从设计到规模化生产（含样机试制）的时间，较原水平缩短5%。</w:t>
            </w:r>
          </w:p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 xml:space="preserve">产品交付周期。从订单接收到产品出厂的时间。较原水平缩短5% 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61" w:rightChars="-29" w:firstLine="0" w:firstLineChars="0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提供说明、相关证明材料、第三方评估等。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ascii="仿宋_GB2312" w:hAnsi="仿宋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spacing w:line="240" w:lineRule="auto"/>
              <w:ind w:right="-111" w:rightChars="-53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项目技术路线先进性、实效性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3</w:t>
            </w: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项目实施方案</w:t>
            </w: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数字化车间/智能工厂整体技术路线清晰、可实施</w:t>
            </w:r>
          </w:p>
        </w:tc>
        <w:tc>
          <w:tcPr>
            <w:tcW w:w="1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根据技术方案开展行业专家评议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应用智能制造关键技术装备、核心软件的情况</w:t>
            </w:r>
          </w:p>
        </w:tc>
        <w:tc>
          <w:tcPr>
            <w:tcW w:w="144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应用完整的智能化转型升级系统解决方案,技术指标达到行业或国内领先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right="-76" w:rightChars="-36"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项目建设方案具备完整性、可复制性、可推广性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项目的技术难点和主要创新点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项目建设完成后实现的绩效指标达成情况、经济效益、社会效益等。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60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148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责任单位(和主要合作单位)与项目实施相关的实力和基础（企业业绩、专业人才、关键装备）</w:t>
            </w:r>
          </w:p>
        </w:tc>
        <w:tc>
          <w:tcPr>
            <w:tcW w:w="1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4</w:t>
            </w:r>
          </w:p>
        </w:tc>
        <w:tc>
          <w:tcPr>
            <w:tcW w:w="1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kern w:val="0"/>
                <w:sz w:val="28"/>
                <w:szCs w:val="28"/>
              </w:rPr>
              <w:t>经费概算</w:t>
            </w:r>
          </w:p>
        </w:tc>
        <w:tc>
          <w:tcPr>
            <w:tcW w:w="5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szCs w:val="24"/>
              </w:rPr>
              <w:t>投资构成的合理性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提供采购合同、应用报告、第三方评估等</w:t>
            </w:r>
          </w:p>
        </w:tc>
      </w:tr>
    </w:tbl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textAlignment w:val="auto"/>
        <w:rPr>
          <w:rFonts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629"/>
        <w:textAlignment w:val="auto"/>
        <w:outlineLvl w:val="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三、支持标准和方式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按照申报项目实际设备和软件固定资产投入（含融资租赁）的20%给予资金支持。其中，申报项目属于新能源智能汽车、第三代半导体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航空航天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三大创新型产业集群</w:t>
      </w:r>
      <w:r>
        <w:rPr>
          <w:rFonts w:hint="eastAsia" w:ascii="仿宋_GB2312" w:hAnsi="仿宋_GB2312" w:eastAsia="仿宋_GB2312" w:cs="仿宋_GB2312"/>
          <w:sz w:val="32"/>
          <w:szCs w:val="32"/>
        </w:rPr>
        <w:t>，开展关键工序、核心工艺、核心设备、安全设施等改造升级的，按照项目实际设备和软件固定资产投入（含融资租赁）的30%给予资金支持。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具体支持如下：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智能制造装备和软件应用项目最高支持200万元；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智能制造单元和智能产线项目最高支持300万元；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（三）数字化车间和智能工厂项目最高支持1000万元。</w:t>
      </w:r>
    </w:p>
    <w:p>
      <w:pPr>
        <w:pStyle w:val="7"/>
        <w:widowControl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7"/>
        <w:widowControl/>
        <w:spacing w:before="0" w:beforeAutospacing="0" w:after="0" w:afterAutospacing="0"/>
        <w:rPr>
          <w:rFonts w:eastAsia="仿宋_GB2312"/>
          <w:sz w:val="32"/>
          <w:szCs w:val="32"/>
        </w:rPr>
      </w:pPr>
    </w:p>
    <w:sectPr>
      <w:footerReference r:id="rId4" w:type="default"/>
      <w:headerReference r:id="rId3" w:type="even"/>
      <w:footerReference r:id="rId5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jc w:val="right"/>
    </w:pPr>
    <w:r>
      <w:rPr>
        <w:rStyle w:val="9"/>
        <w:rFonts w:hint="eastAsia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</w:pPr>
    <w:r>
      <w:rPr>
        <w:rStyle w:val="9"/>
        <w:rFonts w:hint="eastAsia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 PAGE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2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Style w:val="9"/>
        <w:rFonts w:hint="eastAsia"/>
        <w:sz w:val="28"/>
        <w:szCs w:val="28"/>
      </w:rPr>
      <w:t xml:space="preserve"> 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F578E"/>
    <w:multiLevelType w:val="multilevel"/>
    <w:tmpl w:val="43EF578E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7C1C01"/>
    <w:multiLevelType w:val="multilevel"/>
    <w:tmpl w:val="567C1C01"/>
    <w:lvl w:ilvl="0" w:tentative="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4AA"/>
    <w:rsid w:val="00053BB6"/>
    <w:rsid w:val="00072ADC"/>
    <w:rsid w:val="00090832"/>
    <w:rsid w:val="00095C73"/>
    <w:rsid w:val="000A3E6E"/>
    <w:rsid w:val="000B59DC"/>
    <w:rsid w:val="00160354"/>
    <w:rsid w:val="00160A68"/>
    <w:rsid w:val="0016195B"/>
    <w:rsid w:val="001646D1"/>
    <w:rsid w:val="00176C80"/>
    <w:rsid w:val="0018062A"/>
    <w:rsid w:val="0019536D"/>
    <w:rsid w:val="001969FD"/>
    <w:rsid w:val="001C201A"/>
    <w:rsid w:val="001D3034"/>
    <w:rsid w:val="001E6215"/>
    <w:rsid w:val="001F1E52"/>
    <w:rsid w:val="0022048F"/>
    <w:rsid w:val="002A7D1D"/>
    <w:rsid w:val="002C636C"/>
    <w:rsid w:val="002D4234"/>
    <w:rsid w:val="002F7342"/>
    <w:rsid w:val="00304EC3"/>
    <w:rsid w:val="0032095E"/>
    <w:rsid w:val="003324D8"/>
    <w:rsid w:val="00341132"/>
    <w:rsid w:val="003B3147"/>
    <w:rsid w:val="003F0F36"/>
    <w:rsid w:val="004005A6"/>
    <w:rsid w:val="00401C77"/>
    <w:rsid w:val="00413B1F"/>
    <w:rsid w:val="0041677B"/>
    <w:rsid w:val="00425D45"/>
    <w:rsid w:val="004276E5"/>
    <w:rsid w:val="00440DEB"/>
    <w:rsid w:val="00447AED"/>
    <w:rsid w:val="004659D6"/>
    <w:rsid w:val="00472AAA"/>
    <w:rsid w:val="0049272D"/>
    <w:rsid w:val="004A729F"/>
    <w:rsid w:val="004B0433"/>
    <w:rsid w:val="004B7EDC"/>
    <w:rsid w:val="00506695"/>
    <w:rsid w:val="0051740E"/>
    <w:rsid w:val="00521227"/>
    <w:rsid w:val="00522931"/>
    <w:rsid w:val="00526FD9"/>
    <w:rsid w:val="005303D2"/>
    <w:rsid w:val="00532D1D"/>
    <w:rsid w:val="00544E63"/>
    <w:rsid w:val="0055694C"/>
    <w:rsid w:val="005774DE"/>
    <w:rsid w:val="005A77AF"/>
    <w:rsid w:val="005C587C"/>
    <w:rsid w:val="005D6290"/>
    <w:rsid w:val="005E3ACF"/>
    <w:rsid w:val="005F2A80"/>
    <w:rsid w:val="006243F3"/>
    <w:rsid w:val="00633C00"/>
    <w:rsid w:val="0064012E"/>
    <w:rsid w:val="00641F6B"/>
    <w:rsid w:val="00691D54"/>
    <w:rsid w:val="006A0C6F"/>
    <w:rsid w:val="006C7D2A"/>
    <w:rsid w:val="006E23AB"/>
    <w:rsid w:val="00722374"/>
    <w:rsid w:val="007313B7"/>
    <w:rsid w:val="007635DB"/>
    <w:rsid w:val="007D1299"/>
    <w:rsid w:val="007E7EE4"/>
    <w:rsid w:val="007F138E"/>
    <w:rsid w:val="007F794B"/>
    <w:rsid w:val="00842FBD"/>
    <w:rsid w:val="00907102"/>
    <w:rsid w:val="00946794"/>
    <w:rsid w:val="00956559"/>
    <w:rsid w:val="00987536"/>
    <w:rsid w:val="009A160C"/>
    <w:rsid w:val="00A07852"/>
    <w:rsid w:val="00A15BCE"/>
    <w:rsid w:val="00A20A1C"/>
    <w:rsid w:val="00A52869"/>
    <w:rsid w:val="00A6746E"/>
    <w:rsid w:val="00AD0B02"/>
    <w:rsid w:val="00B0793C"/>
    <w:rsid w:val="00B407AF"/>
    <w:rsid w:val="00B43914"/>
    <w:rsid w:val="00B60876"/>
    <w:rsid w:val="00BC068E"/>
    <w:rsid w:val="00BE4FD0"/>
    <w:rsid w:val="00C04E07"/>
    <w:rsid w:val="00C352B9"/>
    <w:rsid w:val="00C40583"/>
    <w:rsid w:val="00C83AC2"/>
    <w:rsid w:val="00CD415B"/>
    <w:rsid w:val="00CF3D28"/>
    <w:rsid w:val="00D07D2A"/>
    <w:rsid w:val="00D3238C"/>
    <w:rsid w:val="00D74FAF"/>
    <w:rsid w:val="00D977F3"/>
    <w:rsid w:val="00DA19A1"/>
    <w:rsid w:val="00E5193E"/>
    <w:rsid w:val="00E53CCD"/>
    <w:rsid w:val="00E91735"/>
    <w:rsid w:val="00ED2B0F"/>
    <w:rsid w:val="00F160BC"/>
    <w:rsid w:val="00F4302C"/>
    <w:rsid w:val="00F43EBE"/>
    <w:rsid w:val="00F44E9F"/>
    <w:rsid w:val="00F54CEC"/>
    <w:rsid w:val="00F54E7D"/>
    <w:rsid w:val="00F554AA"/>
    <w:rsid w:val="00F565CA"/>
    <w:rsid w:val="00F90351"/>
    <w:rsid w:val="00FE0E94"/>
    <w:rsid w:val="00FE5B63"/>
    <w:rsid w:val="06DB6692"/>
    <w:rsid w:val="072F1412"/>
    <w:rsid w:val="073A4FB6"/>
    <w:rsid w:val="15276346"/>
    <w:rsid w:val="1C4E5509"/>
    <w:rsid w:val="28441A84"/>
    <w:rsid w:val="296073B9"/>
    <w:rsid w:val="338A3522"/>
    <w:rsid w:val="35486743"/>
    <w:rsid w:val="41156F1D"/>
    <w:rsid w:val="43AA1645"/>
    <w:rsid w:val="4DEC4934"/>
    <w:rsid w:val="631C2FFD"/>
    <w:rsid w:val="68612E56"/>
    <w:rsid w:val="695030B5"/>
    <w:rsid w:val="6DBE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6"/>
    <w:qFormat/>
    <w:uiPriority w:val="0"/>
    <w:pPr>
      <w:spacing w:line="600" w:lineRule="exact"/>
      <w:ind w:firstLine="420" w:firstLineChars="100"/>
    </w:pPr>
    <w:rPr>
      <w:rFonts w:ascii="Times New Roman" w:hAnsi="Times New Roman" w:eastAsia="仿宋_GB2312"/>
      <w:sz w:val="32"/>
    </w:rPr>
  </w:style>
  <w:style w:type="paragraph" w:styleId="3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4"/>
      <w:szCs w:val="24"/>
    </w:rPr>
  </w:style>
  <w:style w:type="character" w:styleId="9">
    <w:name w:val="page number"/>
    <w:basedOn w:val="8"/>
    <w:qFormat/>
    <w:uiPriority w:val="0"/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框文本 Char"/>
    <w:basedOn w:val="8"/>
    <w:link w:val="4"/>
    <w:semiHidden/>
    <w:qFormat/>
    <w:uiPriority w:val="99"/>
    <w:rPr>
      <w:rFonts w:ascii="宋体" w:eastAsia="宋体"/>
      <w:sz w:val="18"/>
      <w:szCs w:val="18"/>
    </w:rPr>
  </w:style>
  <w:style w:type="character" w:customStyle="1" w:styleId="15">
    <w:name w:val="正文文本 Char"/>
    <w:basedOn w:val="8"/>
    <w:link w:val="3"/>
    <w:semiHidden/>
    <w:qFormat/>
    <w:uiPriority w:val="99"/>
  </w:style>
  <w:style w:type="character" w:customStyle="1" w:styleId="16">
    <w:name w:val="正文首行缩进 Char"/>
    <w:basedOn w:val="15"/>
    <w:link w:val="2"/>
    <w:qFormat/>
    <w:uiPriority w:val="0"/>
    <w:rPr>
      <w:rFonts w:ascii="Times New Roman" w:hAnsi="Times New Roman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479</Words>
  <Characters>2732</Characters>
  <Lines>22</Lines>
  <Paragraphs>6</Paragraphs>
  <TotalTime>53</TotalTime>
  <ScaleCrop>false</ScaleCrop>
  <LinksUpToDate>false</LinksUpToDate>
  <CharactersWithSpaces>3205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2021-05-20T02:52:00Z</dcterms:created>
  <dc:creator>王雪莹</dc:creator>
  <cp:lastModifiedBy>ss</cp:lastModifiedBy>
  <cp:lastPrinted>2022-06-01T07:51:27Z</cp:lastPrinted>
  <dcterms:modified xsi:type="dcterms:W3CDTF">2022-06-01T08:33:50Z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