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国家税务总局</w:t>
      </w:r>
      <w:r>
        <w:rPr>
          <w:rFonts w:hint="eastAsia" w:ascii="方正小标宋简体" w:eastAsia="方正小标宋简体"/>
          <w:sz w:val="44"/>
          <w:szCs w:val="44"/>
          <w:lang w:eastAsia="zh-CN"/>
        </w:rPr>
        <w:t>漯河</w:t>
      </w:r>
      <w:r>
        <w:rPr>
          <w:rFonts w:hint="eastAsia" w:ascii="方正小标宋简体" w:eastAsia="方正小标宋简体"/>
          <w:sz w:val="44"/>
          <w:szCs w:val="44"/>
        </w:rPr>
        <w:t>市税务局行政相对人违法风险点</w:t>
      </w:r>
    </w:p>
    <w:p>
      <w:pPr>
        <w:autoSpaceDE w:val="0"/>
        <w:adjustRightInd w:val="0"/>
        <w:snapToGrid w:val="0"/>
        <w:spacing w:line="600" w:lineRule="exact"/>
        <w:ind w:firstLine="645"/>
        <w:rPr>
          <w:rFonts w:ascii="仿宋_GB2312" w:eastAsia="仿宋_GB2312"/>
          <w:color w:val="000000" w:themeColor="text1"/>
          <w:sz w:val="32"/>
          <w14:textFill>
            <w14:solidFill>
              <w14:schemeClr w14:val="tx1"/>
            </w14:solidFill>
          </w14:textFill>
        </w:rPr>
      </w:pPr>
    </w:p>
    <w:p>
      <w:pPr>
        <w:autoSpaceDE w:val="0"/>
        <w:adjustRightInd w:val="0"/>
        <w:snapToGrid w:val="0"/>
        <w:spacing w:line="600" w:lineRule="exact"/>
        <w:ind w:firstLine="645"/>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为方便纳税人和扣缴义务人等（统称行政相对人）了解纳税过程中容易出现的违法行为风险点，进一步降低行政相对人的税收风险，提高税法遵从度，按照</w:t>
      </w:r>
      <w:r>
        <w:rPr>
          <w:rFonts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lang w:eastAsia="zh-CN"/>
          <w14:textFill>
            <w14:solidFill>
              <w14:schemeClr w14:val="tx1"/>
            </w14:solidFill>
          </w14:textFill>
        </w:rPr>
        <w:t>河南省法治政府建设领导小组办公室关于做好</w:t>
      </w:r>
      <w:r>
        <w:rPr>
          <w:rFonts w:hint="eastAsia" w:ascii="仿宋_GB2312" w:eastAsia="仿宋_GB2312"/>
          <w:color w:val="000000" w:themeColor="text1"/>
          <w:sz w:val="32"/>
          <w:lang w:val="en-US" w:eastAsia="zh-CN"/>
          <w14:textFill>
            <w14:solidFill>
              <w14:schemeClr w14:val="tx1"/>
            </w14:solidFill>
          </w14:textFill>
        </w:rPr>
        <w:t>2021年度全省推进服务型行政执法建设工作的通知</w:t>
      </w:r>
      <w:r>
        <w:rPr>
          <w:rFonts w:ascii="仿宋_GB2312" w:eastAsia="仿宋_GB2312"/>
          <w:color w:val="000000" w:themeColor="text1"/>
          <w:sz w:val="32"/>
          <w14:textFill>
            <w14:solidFill>
              <w14:schemeClr w14:val="tx1"/>
            </w14:solidFill>
          </w14:textFill>
        </w:rPr>
        <w:t>》</w:t>
      </w:r>
      <w:r>
        <w:rPr>
          <w:rFonts w:hint="eastAsia" w:ascii="仿宋_GB2312" w:eastAsia="仿宋_GB2312"/>
          <w:color w:val="000000" w:themeColor="text1"/>
          <w:sz w:val="32"/>
          <w14:textFill>
            <w14:solidFill>
              <w14:schemeClr w14:val="tx1"/>
            </w14:solidFill>
          </w14:textFill>
        </w:rPr>
        <w:t>的</w:t>
      </w:r>
      <w:r>
        <w:rPr>
          <w:rFonts w:ascii="仿宋_GB2312" w:eastAsia="仿宋_GB2312"/>
          <w:color w:val="000000" w:themeColor="text1"/>
          <w:sz w:val="32"/>
          <w14:textFill>
            <w14:solidFill>
              <w14:schemeClr w14:val="tx1"/>
            </w14:solidFill>
          </w14:textFill>
        </w:rPr>
        <w:t>要求，</w:t>
      </w:r>
      <w:r>
        <w:rPr>
          <w:rFonts w:hint="eastAsia" w:ascii="仿宋_GB2312" w:eastAsia="仿宋_GB2312"/>
          <w:color w:val="000000" w:themeColor="text1"/>
          <w:sz w:val="32"/>
          <w14:textFill>
            <w14:solidFill>
              <w14:schemeClr w14:val="tx1"/>
            </w14:solidFill>
          </w14:textFill>
        </w:rPr>
        <w:t>结合</w:t>
      </w:r>
      <w:r>
        <w:rPr>
          <w:rFonts w:ascii="仿宋_GB2312" w:eastAsia="仿宋_GB2312"/>
          <w:color w:val="000000" w:themeColor="text1"/>
          <w:sz w:val="32"/>
          <w14:textFill>
            <w14:solidFill>
              <w14:schemeClr w14:val="tx1"/>
            </w14:solidFill>
          </w14:textFill>
        </w:rPr>
        <w:t>税务工作实际，</w:t>
      </w:r>
      <w:r>
        <w:rPr>
          <w:rFonts w:hint="eastAsia" w:ascii="仿宋_GB2312" w:eastAsia="仿宋_GB2312"/>
          <w:color w:val="000000" w:themeColor="text1"/>
          <w:sz w:val="32"/>
          <w14:textFill>
            <w14:solidFill>
              <w14:schemeClr w14:val="tx1"/>
            </w14:solidFill>
          </w14:textFill>
        </w:rPr>
        <w:t>国家税务总局</w:t>
      </w:r>
      <w:r>
        <w:rPr>
          <w:rFonts w:hint="eastAsia" w:ascii="仿宋_GB2312" w:eastAsia="仿宋_GB2312"/>
          <w:color w:val="000000" w:themeColor="text1"/>
          <w:sz w:val="32"/>
          <w:lang w:eastAsia="zh-CN"/>
          <w14:textFill>
            <w14:solidFill>
              <w14:schemeClr w14:val="tx1"/>
            </w14:solidFill>
          </w14:textFill>
        </w:rPr>
        <w:t>漯河</w:t>
      </w:r>
      <w:r>
        <w:rPr>
          <w:rFonts w:hint="eastAsia" w:ascii="仿宋_GB2312" w:eastAsia="仿宋_GB2312"/>
          <w:color w:val="000000" w:themeColor="text1"/>
          <w:sz w:val="32"/>
          <w14:textFill>
            <w14:solidFill>
              <w14:schemeClr w14:val="tx1"/>
            </w14:solidFill>
          </w14:textFill>
        </w:rPr>
        <w:t>市税务局梳理出常见的违法风险点，划分出了风险等级、产生</w:t>
      </w:r>
      <w:r>
        <w:rPr>
          <w:rFonts w:ascii="仿宋_GB2312" w:eastAsia="仿宋_GB2312"/>
          <w:color w:val="000000" w:themeColor="text1"/>
          <w:sz w:val="32"/>
          <w14:textFill>
            <w14:solidFill>
              <w14:schemeClr w14:val="tx1"/>
            </w14:solidFill>
          </w14:textFill>
        </w:rPr>
        <w:t>原因和防控措施等</w:t>
      </w:r>
      <w:r>
        <w:rPr>
          <w:rFonts w:hint="eastAsia" w:ascii="仿宋_GB2312" w:eastAsia="仿宋_GB2312"/>
          <w:color w:val="000000" w:themeColor="text1"/>
          <w:sz w:val="32"/>
          <w14:textFill>
            <w14:solidFill>
              <w14:schemeClr w14:val="tx1"/>
            </w14:solidFill>
          </w14:textFill>
        </w:rPr>
        <w:t>，帮助</w:t>
      </w:r>
      <w:r>
        <w:rPr>
          <w:rFonts w:ascii="仿宋_GB2312" w:eastAsia="仿宋_GB2312"/>
          <w:color w:val="000000" w:themeColor="text1"/>
          <w:sz w:val="32"/>
          <w14:textFill>
            <w14:solidFill>
              <w14:schemeClr w14:val="tx1"/>
            </w14:solidFill>
          </w14:textFill>
        </w:rPr>
        <w:t>行政相对人</w:t>
      </w:r>
      <w:r>
        <w:rPr>
          <w:rFonts w:hint="eastAsia" w:ascii="仿宋_GB2312" w:eastAsia="仿宋_GB2312"/>
          <w:color w:val="000000" w:themeColor="text1"/>
          <w:sz w:val="32"/>
          <w14:textFill>
            <w14:solidFill>
              <w14:schemeClr w14:val="tx1"/>
            </w14:solidFill>
          </w14:textFill>
        </w:rPr>
        <w:t>降低涉税</w:t>
      </w:r>
      <w:r>
        <w:rPr>
          <w:rFonts w:ascii="仿宋_GB2312" w:eastAsia="仿宋_GB2312"/>
          <w:color w:val="000000" w:themeColor="text1"/>
          <w:sz w:val="32"/>
          <w14:textFill>
            <w14:solidFill>
              <w14:schemeClr w14:val="tx1"/>
            </w14:solidFill>
          </w14:textFill>
        </w:rPr>
        <w:t>风险</w:t>
      </w:r>
      <w:r>
        <w:rPr>
          <w:rFonts w:hint="eastAsia" w:ascii="仿宋_GB2312" w:eastAsia="仿宋_GB2312"/>
          <w:color w:val="000000" w:themeColor="text1"/>
          <w:sz w:val="32"/>
          <w14:textFill>
            <w14:solidFill>
              <w14:schemeClr w14:val="tx1"/>
            </w14:solidFill>
          </w14:textFill>
        </w:rPr>
        <w:t>。已</w:t>
      </w:r>
      <w:r>
        <w:rPr>
          <w:rFonts w:ascii="仿宋_GB2312" w:eastAsia="仿宋_GB2312"/>
          <w:color w:val="000000" w:themeColor="text1"/>
          <w:sz w:val="32"/>
          <w14:textFill>
            <w14:solidFill>
              <w14:schemeClr w14:val="tx1"/>
            </w14:solidFill>
          </w14:textFill>
        </w:rPr>
        <w:t>梳理的</w:t>
      </w:r>
      <w:r>
        <w:rPr>
          <w:rFonts w:hint="eastAsia" w:ascii="仿宋_GB2312" w:eastAsia="仿宋_GB2312"/>
          <w:color w:val="000000" w:themeColor="text1"/>
          <w:sz w:val="32"/>
          <w14:textFill>
            <w14:solidFill>
              <w14:schemeClr w14:val="tx1"/>
            </w14:solidFill>
          </w14:textFill>
        </w:rPr>
        <w:t>违法风险点如下：</w:t>
      </w: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br w:type="page"/>
      </w:r>
    </w:p>
    <w:p>
      <w:pPr>
        <w:jc w:val="center"/>
        <w:rPr>
          <w:rFonts w:ascii="方正小标宋简体" w:eastAsia="方正小标宋简体"/>
          <w:sz w:val="44"/>
          <w:szCs w:val="44"/>
        </w:rPr>
      </w:pPr>
      <w:r>
        <w:rPr>
          <w:rFonts w:hint="eastAsia" w:ascii="方正小标宋简体" w:eastAsia="方正小标宋简体"/>
          <w:sz w:val="44"/>
          <w:szCs w:val="44"/>
        </w:rPr>
        <w:t>行政相对人违法风险点</w:t>
      </w:r>
    </w:p>
    <w:tbl>
      <w:tblPr>
        <w:tblStyle w:val="9"/>
        <w:tblpPr w:leftFromText="180" w:rightFromText="180" w:vertAnchor="text" w:horzAnchor="margin" w:tblpXSpec="center" w:tblpY="104"/>
        <w:tblW w:w="153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68"/>
        <w:gridCol w:w="817"/>
        <w:gridCol w:w="4142"/>
        <w:gridCol w:w="2624"/>
        <w:gridCol w:w="2551"/>
        <w:gridCol w:w="77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816" w:type="dxa"/>
            <w:tcBorders>
              <w:top w:val="single" w:color="auto" w:sz="4" w:space="0"/>
              <w:left w:val="single" w:color="auto" w:sz="4" w:space="0"/>
              <w:bottom w:val="single" w:color="auto" w:sz="4" w:space="0"/>
              <w:right w:val="single" w:color="auto" w:sz="4" w:space="0"/>
            </w:tcBorders>
          </w:tcPr>
          <w:p>
            <w:pPr>
              <w:pStyle w:val="3"/>
              <w:adjustRightInd w:val="0"/>
              <w:snapToGrid w:val="0"/>
              <w:jc w:val="center"/>
              <w:rPr>
                <w:rFonts w:ascii="黑体" w:hAnsi="黑体" w:eastAsia="黑体" w:cs="宋体"/>
                <w:color w:val="000000"/>
                <w:kern w:val="0"/>
                <w:sz w:val="24"/>
                <w:szCs w:val="24"/>
              </w:rPr>
            </w:pPr>
          </w:p>
          <w:p>
            <w:pPr>
              <w:pStyle w:val="3"/>
              <w:adjustRightInd w:val="0"/>
              <w:snapToGrid w:val="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黑体" w:hAnsi="黑体" w:eastAsia="黑体"/>
                <w:color w:val="000000"/>
                <w:kern w:val="0"/>
                <w:sz w:val="24"/>
                <w:szCs w:val="24"/>
              </w:rPr>
            </w:pPr>
            <w:r>
              <w:rPr>
                <w:rFonts w:hint="eastAsia" w:ascii="黑体" w:hAnsi="黑体" w:eastAsia="黑体" w:cs="宋体"/>
                <w:color w:val="000000"/>
                <w:kern w:val="0"/>
                <w:sz w:val="24"/>
                <w:szCs w:val="24"/>
              </w:rPr>
              <w:t>违法行为</w:t>
            </w:r>
          </w:p>
        </w:tc>
        <w:tc>
          <w:tcPr>
            <w:tcW w:w="817" w:type="dxa"/>
            <w:tcBorders>
              <w:top w:val="single" w:color="auto" w:sz="4" w:space="0"/>
              <w:left w:val="single" w:color="auto" w:sz="4" w:space="0"/>
              <w:bottom w:val="single" w:color="auto" w:sz="4" w:space="0"/>
              <w:right w:val="single" w:color="auto" w:sz="4" w:space="0"/>
            </w:tcBorders>
          </w:tcPr>
          <w:p>
            <w:pPr>
              <w:pStyle w:val="3"/>
              <w:adjustRightInd w:val="0"/>
              <w:snapToGrid w:val="0"/>
              <w:jc w:val="center"/>
              <w:rPr>
                <w:rFonts w:ascii="黑体" w:hAnsi="黑体" w:eastAsia="黑体" w:cs="宋体"/>
                <w:color w:val="000000"/>
                <w:kern w:val="0"/>
                <w:sz w:val="24"/>
                <w:szCs w:val="24"/>
              </w:rPr>
            </w:pPr>
          </w:p>
          <w:p>
            <w:pPr>
              <w:pStyle w:val="3"/>
              <w:adjustRightInd w:val="0"/>
              <w:snapToGrid w:val="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风险等级</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黑体" w:hAnsi="黑体" w:eastAsia="黑体"/>
                <w:color w:val="000000"/>
                <w:kern w:val="0"/>
                <w:sz w:val="24"/>
                <w:szCs w:val="24"/>
              </w:rPr>
            </w:pPr>
            <w:r>
              <w:rPr>
                <w:rFonts w:hint="eastAsia" w:ascii="黑体" w:hAnsi="黑体" w:eastAsia="黑体" w:cs="宋体"/>
                <w:color w:val="000000"/>
                <w:kern w:val="0"/>
                <w:sz w:val="24"/>
                <w:szCs w:val="24"/>
              </w:rPr>
              <w:t>处罚依据</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ind w:firstLine="360" w:firstLineChars="150"/>
              <w:rPr>
                <w:rFonts w:ascii="黑体" w:hAnsi="黑体" w:eastAsia="黑体"/>
                <w:color w:val="000000"/>
                <w:kern w:val="0"/>
                <w:sz w:val="24"/>
                <w:szCs w:val="24"/>
              </w:rPr>
            </w:pPr>
            <w:r>
              <w:rPr>
                <w:rFonts w:hint="eastAsia" w:ascii="黑体" w:hAnsi="黑体" w:eastAsia="黑体"/>
                <w:color w:val="000000"/>
                <w:kern w:val="0"/>
                <w:sz w:val="24"/>
                <w:szCs w:val="24"/>
              </w:rPr>
              <w:t>产生原因</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黑体" w:hAnsi="黑体" w:eastAsia="黑体"/>
                <w:color w:val="000000"/>
                <w:kern w:val="0"/>
                <w:sz w:val="24"/>
                <w:szCs w:val="24"/>
              </w:rPr>
            </w:pPr>
            <w:r>
              <w:rPr>
                <w:rFonts w:hint="eastAsia" w:ascii="黑体" w:hAnsi="黑体" w:eastAsia="黑体" w:cs="宋体"/>
                <w:color w:val="000000"/>
                <w:kern w:val="0"/>
                <w:sz w:val="24"/>
                <w:szCs w:val="24"/>
              </w:rPr>
              <w:t>防控措施</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center"/>
              <w:rPr>
                <w:rFonts w:ascii="黑体" w:hAnsi="黑体" w:eastAsia="黑体" w:cs="宋体"/>
                <w:color w:val="000000"/>
                <w:kern w:val="0"/>
                <w:sz w:val="24"/>
                <w:szCs w:val="24"/>
              </w:rPr>
            </w:pPr>
          </w:p>
          <w:p>
            <w:pPr>
              <w:pStyle w:val="3"/>
              <w:adjustRightInd w:val="0"/>
              <w:snapToGrid w:val="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责任</w:t>
            </w:r>
          </w:p>
          <w:p>
            <w:pPr>
              <w:pStyle w:val="3"/>
              <w:adjustRightInd w:val="0"/>
              <w:snapToGrid w:val="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单位</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黑体" w:hAnsi="黑体" w:eastAsia="黑体"/>
                <w:color w:val="000000"/>
                <w:kern w:val="0"/>
                <w:sz w:val="24"/>
                <w:szCs w:val="24"/>
              </w:rPr>
            </w:pPr>
          </w:p>
          <w:p>
            <w:pPr>
              <w:pStyle w:val="3"/>
              <w:adjustRightInd w:val="0"/>
              <w:snapToGrid w:val="0"/>
              <w:rPr>
                <w:rFonts w:ascii="黑体" w:hAnsi="黑体" w:eastAsia="黑体"/>
                <w:color w:val="000000"/>
                <w:kern w:val="0"/>
                <w:sz w:val="24"/>
                <w:szCs w:val="24"/>
              </w:rPr>
            </w:pPr>
            <w:r>
              <w:rPr>
                <w:rFonts w:hint="eastAsia" w:ascii="黑体" w:hAnsi="黑体" w:eastAsia="黑体"/>
                <w:color w:val="000000"/>
                <w:kern w:val="0"/>
                <w:sz w:val="24"/>
                <w:szCs w:val="24"/>
              </w:rPr>
              <w:t>监督</w:t>
            </w:r>
          </w:p>
          <w:p>
            <w:pPr>
              <w:pStyle w:val="3"/>
              <w:adjustRightInd w:val="0"/>
              <w:snapToGrid w:val="0"/>
              <w:rPr>
                <w:rFonts w:ascii="黑体" w:hAnsi="黑体" w:eastAsia="黑体"/>
                <w:color w:val="000000"/>
                <w:kern w:val="0"/>
                <w:sz w:val="24"/>
                <w:szCs w:val="24"/>
              </w:rPr>
            </w:pPr>
            <w:r>
              <w:rPr>
                <w:rFonts w:ascii="黑体" w:hAnsi="黑体" w:eastAsia="黑体"/>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FF0000"/>
                <w:kern w:val="0"/>
                <w:sz w:val="18"/>
                <w:szCs w:val="18"/>
              </w:rPr>
            </w:pPr>
            <w:r>
              <w:rPr>
                <w:rFonts w:hint="eastAsia" w:hAnsi="宋体" w:cs="宋体"/>
                <w:color w:val="000000"/>
                <w:kern w:val="0"/>
                <w:sz w:val="18"/>
                <w:szCs w:val="18"/>
              </w:rPr>
              <w:t>1</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FF0000"/>
                <w:kern w:val="0"/>
                <w:sz w:val="18"/>
                <w:szCs w:val="18"/>
              </w:rPr>
            </w:pPr>
            <w:r>
              <w:rPr>
                <w:rFonts w:hint="eastAsia" w:hAnsi="宋体" w:cs="宋体"/>
                <w:color w:val="000000"/>
                <w:kern w:val="0"/>
                <w:sz w:val="18"/>
                <w:szCs w:val="18"/>
              </w:rPr>
              <w:t>银行和其他金融机构未依法在从事生产、经营的纳税人的账户中登录税务登记证件号码，或者未按规定在税务登记证件中登录从事生产、经营的纳税人的账户账号的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FF0000"/>
                <w:kern w:val="0"/>
                <w:sz w:val="20"/>
              </w:rPr>
            </w:pPr>
            <w:r>
              <w:rPr>
                <w:rFonts w:hint="eastAsia" w:hAnsi="宋体"/>
                <w:color w:val="000000"/>
                <w:kern w:val="0"/>
                <w:sz w:val="20"/>
              </w:rPr>
              <w:t>中</w:t>
            </w:r>
            <w:r>
              <w:rPr>
                <w:rFonts w:hAnsi="宋体"/>
                <w:color w:val="000000"/>
                <w:kern w:val="0"/>
                <w:sz w:val="20"/>
              </w:rPr>
              <w:t>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ind w:firstLine="360" w:firstLineChars="200"/>
              <w:jc w:val="left"/>
              <w:rPr>
                <w:rFonts w:hAnsi="宋体" w:cs="宋体"/>
                <w:color w:val="000000"/>
                <w:kern w:val="0"/>
                <w:sz w:val="18"/>
                <w:szCs w:val="18"/>
              </w:rPr>
            </w:pPr>
            <w:r>
              <w:rPr>
                <w:rFonts w:hint="eastAsia" w:hAnsi="宋体" w:cs="宋体"/>
                <w:color w:val="000000"/>
                <w:kern w:val="0"/>
                <w:sz w:val="18"/>
                <w:szCs w:val="18"/>
              </w:rPr>
              <w:t>《中华人民共和国税收征收管理法实施细则》第九十二条 银行和其他金融机构未依照税收征管法的规定在从事生产、经营的纳税人的账户中登录税务登记证件号码，或者未按规定在税务登记证件中登录从事生产、经营的纳税人的账户账号的，由税务机关责令其限期改正，处２０００元以上２万元以下的罚款；情节严重的，处２万元以上５万元以下的罚款。</w:t>
            </w:r>
          </w:p>
          <w:p>
            <w:pPr>
              <w:pStyle w:val="3"/>
              <w:adjustRightInd w:val="0"/>
              <w:snapToGrid w:val="0"/>
              <w:jc w:val="left"/>
              <w:rPr>
                <w:rFonts w:hAnsi="宋体" w:cs="宋体"/>
                <w:color w:val="FF0000"/>
                <w:kern w:val="0"/>
                <w:sz w:val="18"/>
                <w:szCs w:val="18"/>
              </w:rPr>
            </w:pP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FF0000"/>
                <w:kern w:val="0"/>
                <w:sz w:val="18"/>
                <w:szCs w:val="18"/>
              </w:rPr>
            </w:pPr>
            <w:r>
              <w:rPr>
                <w:rFonts w:hint="eastAsia" w:hAnsi="宋体" w:cs="宋体"/>
                <w:color w:val="000000"/>
                <w:kern w:val="0"/>
                <w:sz w:val="18"/>
                <w:szCs w:val="18"/>
              </w:rPr>
              <w:t>法治观念不强、税收遵从度不高、疏忽大意等原因。</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hAnsi="宋体" w:eastAsia="宋体" w:cs="宋体"/>
                <w:color w:val="FF0000"/>
                <w:kern w:val="0"/>
                <w:sz w:val="18"/>
                <w:szCs w:val="18"/>
              </w:rPr>
            </w:pPr>
            <w:r>
              <w:rPr>
                <w:rFonts w:hint="eastAsia" w:ascii="宋体" w:hAnsi="宋体" w:eastAsia="宋体" w:cs="宋体"/>
                <w:kern w:val="0"/>
                <w:sz w:val="18"/>
                <w:szCs w:val="18"/>
              </w:rPr>
              <w:t>银行和其他金融机构依法在从事生产、经营的纳税人的账户中登录税务登记证件号码，或者按规定在税务登记证件中登录从事生产、经营的纳税人的账户账号。</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ascii="宋体" w:hAnsi="宋体" w:eastAsia="宋体" w:cs="宋体"/>
                <w:color w:val="FF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FF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2.1</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违反账簿凭证管理规定-</w:t>
            </w:r>
            <w:r>
              <w:rPr>
                <w:rFonts w:hAnsi="宋体" w:cs="宋体"/>
                <w:color w:val="000000"/>
                <w:kern w:val="0"/>
                <w:sz w:val="18"/>
                <w:szCs w:val="18"/>
              </w:rPr>
              <w:t>-</w:t>
            </w:r>
            <w:r>
              <w:rPr>
                <w:rFonts w:hint="eastAsia" w:hAnsi="宋体" w:cs="宋体"/>
                <w:color w:val="000000"/>
                <w:kern w:val="0"/>
                <w:sz w:val="18"/>
                <w:szCs w:val="18"/>
              </w:rPr>
              <w:t>未按照规定设置、保管账簿或者保管记账凭证和有关资料，未按照规定报送财务、会计制度、办法和会计核算软件，未按照规定安装、使用或者损毁、擅自改动税控装置的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color w:val="000000"/>
                <w:kern w:val="0"/>
                <w:sz w:val="20"/>
              </w:rPr>
              <w:t>低风险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《中华人民共和国税收征收管理法》第六十条 纳税人有下列行为之一的，由税务机关责令限期改正，可以处二千元以下的罚款；情节严重的，处二千元以上一万元以下的罚款：</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（一）未按照规定的期限申报办理税务登记、变更或者注销登记的；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（二）未按照规定设置、保管账簿或者保管记账凭证和有关资料的；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 xml:space="preserve"> （三）未按照规定将财务、会计制度或者财务、会计处理办法和会计核算软件报送税务机关备查的；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（四）未按照规定将其全部银行账号向税务机关报告的；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（五）未按照规定安装、使用税控装置，或者损毁或者擅自改动税控装置的。</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纳税人法治观念不强、税法知识欠缺、税收遵从度不高、疏忽大意等等。</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hAnsi="宋体" w:eastAsia="宋体" w:cs="宋体"/>
                <w:kern w:val="0"/>
                <w:sz w:val="18"/>
                <w:szCs w:val="18"/>
              </w:rPr>
            </w:pPr>
            <w:r>
              <w:rPr>
                <w:rFonts w:hint="eastAsia" w:ascii="宋体" w:hAnsi="宋体" w:eastAsia="宋体" w:cs="宋体"/>
                <w:kern w:val="0"/>
                <w:sz w:val="18"/>
                <w:szCs w:val="18"/>
              </w:rPr>
              <w:t>纳税人按照</w:t>
            </w:r>
            <w:r>
              <w:rPr>
                <w:rFonts w:ascii="宋体" w:hAnsi="宋体" w:eastAsia="宋体" w:cs="宋体"/>
                <w:kern w:val="0"/>
                <w:sz w:val="18"/>
                <w:szCs w:val="18"/>
              </w:rPr>
              <w:t>税收</w:t>
            </w:r>
            <w:r>
              <w:rPr>
                <w:rFonts w:hint="eastAsia" w:ascii="宋体" w:hAnsi="宋体" w:eastAsia="宋体" w:cs="宋体"/>
                <w:kern w:val="0"/>
                <w:sz w:val="18"/>
                <w:szCs w:val="18"/>
              </w:rPr>
              <w:t>法律</w:t>
            </w:r>
            <w:bookmarkStart w:id="0" w:name="_GoBack"/>
            <w:bookmarkEnd w:id="0"/>
            <w:r>
              <w:rPr>
                <w:rFonts w:hint="eastAsia" w:ascii="宋体" w:hAnsi="宋体" w:eastAsia="宋体" w:cs="宋体"/>
                <w:kern w:val="0"/>
                <w:sz w:val="18"/>
                <w:szCs w:val="18"/>
              </w:rPr>
              <w:t>法规</w:t>
            </w:r>
            <w:r>
              <w:rPr>
                <w:rFonts w:ascii="宋体" w:hAnsi="宋体" w:eastAsia="宋体" w:cs="宋体"/>
                <w:kern w:val="0"/>
                <w:sz w:val="18"/>
                <w:szCs w:val="18"/>
              </w:rPr>
              <w:t>规定</w:t>
            </w:r>
            <w:r>
              <w:rPr>
                <w:rFonts w:hint="eastAsia" w:ascii="宋体" w:hAnsi="宋体" w:eastAsia="宋体" w:cs="宋体"/>
                <w:kern w:val="0"/>
                <w:sz w:val="18"/>
                <w:szCs w:val="18"/>
              </w:rPr>
              <w:t>，</w:t>
            </w:r>
            <w:r>
              <w:rPr>
                <w:rFonts w:ascii="宋体" w:hAnsi="宋体" w:eastAsia="宋体" w:cs="宋体"/>
                <w:kern w:val="0"/>
                <w:sz w:val="18"/>
                <w:szCs w:val="18"/>
              </w:rPr>
              <w:t>设</w:t>
            </w:r>
            <w:r>
              <w:rPr>
                <w:rFonts w:hint="eastAsia" w:ascii="宋体" w:hAnsi="宋体" w:eastAsia="宋体" w:cs="宋体"/>
                <w:kern w:val="0"/>
                <w:sz w:val="18"/>
                <w:szCs w:val="18"/>
              </w:rPr>
              <w:t>置、</w:t>
            </w:r>
            <w:r>
              <w:rPr>
                <w:rFonts w:ascii="宋体" w:hAnsi="宋体" w:eastAsia="宋体" w:cs="宋体"/>
                <w:kern w:val="0"/>
                <w:sz w:val="18"/>
                <w:szCs w:val="18"/>
              </w:rPr>
              <w:t>保管</w:t>
            </w:r>
            <w:r>
              <w:rPr>
                <w:rFonts w:hint="eastAsia" w:ascii="宋体" w:hAnsi="宋体" w:eastAsia="宋体" w:cs="宋体"/>
                <w:kern w:val="0"/>
                <w:sz w:val="18"/>
                <w:szCs w:val="18"/>
              </w:rPr>
              <w:t>账簿、</w:t>
            </w:r>
            <w:r>
              <w:rPr>
                <w:rFonts w:ascii="宋体" w:hAnsi="宋体" w:eastAsia="宋体" w:cs="宋体"/>
                <w:kern w:val="0"/>
                <w:sz w:val="18"/>
                <w:szCs w:val="18"/>
              </w:rPr>
              <w:t>凭证和</w:t>
            </w:r>
            <w:r>
              <w:rPr>
                <w:rFonts w:hint="eastAsia" w:ascii="宋体" w:hAnsi="宋体" w:eastAsia="宋体" w:cs="宋体"/>
                <w:kern w:val="0"/>
                <w:sz w:val="18"/>
                <w:szCs w:val="18"/>
              </w:rPr>
              <w:t>有关</w:t>
            </w:r>
            <w:r>
              <w:rPr>
                <w:rFonts w:ascii="宋体" w:hAnsi="宋体" w:eastAsia="宋体" w:cs="宋体"/>
                <w:kern w:val="0"/>
                <w:sz w:val="18"/>
                <w:szCs w:val="18"/>
              </w:rPr>
              <w:t>资料</w:t>
            </w:r>
            <w:r>
              <w:rPr>
                <w:rFonts w:hint="eastAsia" w:ascii="宋体" w:hAnsi="宋体" w:eastAsia="宋体" w:cs="宋体"/>
                <w:kern w:val="0"/>
                <w:sz w:val="18"/>
                <w:szCs w:val="18"/>
              </w:rPr>
              <w:t>，</w:t>
            </w:r>
            <w:r>
              <w:rPr>
                <w:rFonts w:ascii="宋体" w:hAnsi="宋体" w:eastAsia="宋体" w:cs="宋体"/>
                <w:kern w:val="0"/>
                <w:sz w:val="18"/>
                <w:szCs w:val="18"/>
              </w:rPr>
              <w:t>按要求将</w:t>
            </w:r>
            <w:r>
              <w:rPr>
                <w:rFonts w:hint="eastAsia" w:ascii="宋体" w:hAnsi="宋体" w:eastAsia="宋体" w:cs="宋体"/>
                <w:kern w:val="0"/>
                <w:sz w:val="18"/>
                <w:szCs w:val="18"/>
              </w:rPr>
              <w:t>报送财务、会计制度、办法和会计核算软件</w:t>
            </w:r>
            <w:r>
              <w:rPr>
                <w:rFonts w:ascii="宋体" w:hAnsi="宋体" w:eastAsia="宋体" w:cs="宋体"/>
                <w:kern w:val="0"/>
                <w:sz w:val="18"/>
                <w:szCs w:val="18"/>
              </w:rPr>
              <w:t>报送备案。</w:t>
            </w:r>
            <w:r>
              <w:rPr>
                <w:rFonts w:hint="eastAsia" w:ascii="宋体" w:hAnsi="宋体" w:eastAsia="宋体" w:cs="宋体"/>
                <w:kern w:val="0"/>
                <w:sz w:val="18"/>
                <w:szCs w:val="18"/>
              </w:rPr>
              <w:t>按照规定安装、使用税控装置，不得损毁、擅自改动税控装置。</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r>
              <w:rPr>
                <w:rFonts w:hint="eastAsia" w:hAnsi="宋体" w:cs="宋体"/>
                <w:color w:val="000000"/>
                <w:kern w:val="0"/>
                <w:sz w:val="18"/>
                <w:szCs w:val="18"/>
              </w:rPr>
              <w:tab/>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r>
              <w:rPr>
                <w:rFonts w:hint="eastAsia" w:hAnsi="宋体" w:cs="宋体"/>
                <w:color w:val="000000"/>
                <w:kern w:val="0"/>
                <w:sz w:val="18"/>
                <w:szCs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2.2</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违反账簿凭证管理规定-</w:t>
            </w:r>
            <w:r>
              <w:rPr>
                <w:rFonts w:hAnsi="宋体" w:cs="宋体"/>
                <w:color w:val="000000"/>
                <w:kern w:val="0"/>
                <w:sz w:val="18"/>
                <w:szCs w:val="18"/>
              </w:rPr>
              <w:t>-</w:t>
            </w:r>
            <w:r>
              <w:rPr>
                <w:rFonts w:hint="eastAsia" w:hAnsi="宋体" w:cs="宋体"/>
                <w:color w:val="000000"/>
                <w:kern w:val="0"/>
                <w:sz w:val="18"/>
                <w:szCs w:val="18"/>
              </w:rPr>
              <w:t>扣缴义务人未按照规定设置、保管代扣代缴、代收代缴税款账簿或者保管代扣代缴、代收代缴税款记账凭证及有关资料的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color w:val="000000"/>
                <w:kern w:val="0"/>
                <w:sz w:val="20"/>
              </w:rPr>
              <w:t>低风险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 xml:space="preserve"> 《中华人民共和国税收征收管理法》第六十一条 扣缴义务人未按照规定设置、保管代扣代缴、代收代缴税款账簿或者保管代扣代缴、代收代缴税款记账凭证及有关资料的，由税务机关责令限期改正，可以处二千元以下的罚款；情节严重的，处二千元以上五千元以下的罚款。</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扣缴义务人法治观念不强、税法知识欠缺、税收遵从度不高、疏忽大意等等。</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hAnsi="宋体" w:eastAsia="宋体" w:cs="宋体"/>
                <w:kern w:val="0"/>
                <w:sz w:val="18"/>
                <w:szCs w:val="18"/>
              </w:rPr>
            </w:pPr>
            <w:r>
              <w:rPr>
                <w:rFonts w:hint="eastAsia" w:ascii="宋体" w:hAnsi="宋体" w:eastAsia="宋体" w:cs="宋体"/>
                <w:kern w:val="0"/>
                <w:sz w:val="18"/>
                <w:szCs w:val="18"/>
              </w:rPr>
              <w:t>扣缴义务人按照税收法律法规规定，设置、保管账簿、凭证和有关资料。</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r>
              <w:rPr>
                <w:rFonts w:hint="eastAsia" w:hAnsi="宋体" w:cs="宋体"/>
                <w:color w:val="000000"/>
                <w:kern w:val="0"/>
                <w:sz w:val="18"/>
                <w:szCs w:val="18"/>
              </w:rPr>
              <w:tab/>
            </w:r>
          </w:p>
          <w:p>
            <w:pPr>
              <w:pStyle w:val="3"/>
              <w:adjustRightInd w:val="0"/>
              <w:snapToGrid w:val="0"/>
              <w:jc w:val="left"/>
              <w:rPr>
                <w:rFonts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2.3</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违反账簿凭证管理规定-</w:t>
            </w:r>
            <w:r>
              <w:rPr>
                <w:rFonts w:hAnsi="宋体" w:cs="宋体"/>
                <w:color w:val="000000"/>
                <w:kern w:val="0"/>
                <w:sz w:val="18"/>
                <w:szCs w:val="18"/>
              </w:rPr>
              <w:t>-</w:t>
            </w:r>
            <w:r>
              <w:rPr>
                <w:rFonts w:hint="eastAsia" w:hAnsi="宋体" w:cs="宋体"/>
                <w:color w:val="000000"/>
                <w:kern w:val="0"/>
                <w:sz w:val="18"/>
                <w:szCs w:val="18"/>
              </w:rPr>
              <w:t>非法印制、转借、倒卖、变造或者伪造完税凭证的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color w:val="000000"/>
                <w:kern w:val="0"/>
                <w:sz w:val="20"/>
              </w:rPr>
              <w:t>高风险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《中华人民共和国税收征收管理法实施细则》第九十一条 非法印制、转借、倒卖、变造或者伪造完税凭证的，由税务机关责令改正，处２０００元以上１万元以下的罚款；情节严重的，处１万元以上５万元以下的罚款；构成犯罪的，依法追究刑事责任。</w:t>
            </w:r>
          </w:p>
          <w:p>
            <w:pPr>
              <w:pStyle w:val="3"/>
              <w:adjustRightInd w:val="0"/>
              <w:snapToGrid w:val="0"/>
              <w:jc w:val="left"/>
              <w:rPr>
                <w:rFonts w:hAnsi="宋体" w:cs="宋体"/>
                <w:color w:val="000000"/>
                <w:kern w:val="0"/>
                <w:sz w:val="18"/>
                <w:szCs w:val="18"/>
              </w:rPr>
            </w:pP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法治观念淡薄、税收遵从度低、经济利益驱动等。</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hAnsi="宋体" w:eastAsia="宋体" w:cs="宋体"/>
                <w:kern w:val="0"/>
                <w:sz w:val="18"/>
                <w:szCs w:val="18"/>
              </w:rPr>
            </w:pPr>
            <w:r>
              <w:rPr>
                <w:rFonts w:hint="eastAsia" w:ascii="宋体" w:hAnsi="宋体" w:eastAsia="宋体" w:cs="宋体"/>
                <w:kern w:val="0"/>
                <w:sz w:val="18"/>
                <w:szCs w:val="18"/>
              </w:rPr>
              <w:t>相关行政相对人遵守</w:t>
            </w:r>
            <w:r>
              <w:rPr>
                <w:rFonts w:ascii="宋体" w:hAnsi="宋体" w:eastAsia="宋体" w:cs="宋体"/>
                <w:kern w:val="0"/>
                <w:sz w:val="18"/>
                <w:szCs w:val="18"/>
              </w:rPr>
              <w:t>税收法律法规的规定，不</w:t>
            </w:r>
            <w:r>
              <w:rPr>
                <w:rFonts w:hint="eastAsia" w:ascii="宋体" w:hAnsi="宋体" w:eastAsia="宋体" w:cs="宋体"/>
                <w:kern w:val="0"/>
                <w:sz w:val="18"/>
                <w:szCs w:val="18"/>
              </w:rPr>
              <w:t>从事非法印制、转借、倒卖、变造或者伪造完税凭证的活动</w:t>
            </w:r>
            <w:r>
              <w:rPr>
                <w:rFonts w:ascii="宋体" w:hAnsi="宋体" w:eastAsia="宋体" w:cs="宋体"/>
                <w:kern w:val="0"/>
                <w:sz w:val="18"/>
                <w:szCs w:val="18"/>
              </w:rPr>
              <w:t>。</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r>
              <w:rPr>
                <w:rFonts w:hint="eastAsia" w:hAnsi="宋体" w:cs="宋体"/>
                <w:color w:val="000000"/>
                <w:kern w:val="0"/>
                <w:sz w:val="18"/>
                <w:szCs w:val="18"/>
              </w:rPr>
              <w:tab/>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3.1</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违反纳税申报规定-</w:t>
            </w:r>
            <w:r>
              <w:rPr>
                <w:rFonts w:hAnsi="宋体" w:cs="宋体"/>
                <w:color w:val="000000"/>
                <w:kern w:val="0"/>
                <w:sz w:val="18"/>
                <w:szCs w:val="18"/>
              </w:rPr>
              <w:t>-</w:t>
            </w:r>
            <w:r>
              <w:rPr>
                <w:rFonts w:hint="eastAsia" w:hAnsi="宋体" w:cs="宋体"/>
                <w:color w:val="000000"/>
                <w:kern w:val="0"/>
                <w:sz w:val="18"/>
                <w:szCs w:val="18"/>
              </w:rPr>
              <w:t>未按照规定的期限办理纳税申报和报送申报资料，未按照规定的期限报送代扣代缴、代收代缴税款报告表和有关资料的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color w:val="000000"/>
                <w:kern w:val="0"/>
                <w:sz w:val="20"/>
              </w:rPr>
              <w:t>低风险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《中华人民共和国税收征收管理法》第六十二条 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p>
          <w:p>
            <w:pPr>
              <w:pStyle w:val="3"/>
              <w:adjustRightInd w:val="0"/>
              <w:snapToGrid w:val="0"/>
              <w:jc w:val="left"/>
              <w:rPr>
                <w:rFonts w:hAnsi="宋体" w:cs="宋体"/>
                <w:color w:val="000000"/>
                <w:kern w:val="0"/>
                <w:sz w:val="18"/>
                <w:szCs w:val="18"/>
              </w:rPr>
            </w:pPr>
          </w:p>
        </w:tc>
        <w:tc>
          <w:tcPr>
            <w:tcW w:w="2624" w:type="dxa"/>
            <w:tcBorders>
              <w:top w:val="single" w:color="auto" w:sz="4" w:space="0"/>
              <w:left w:val="single" w:color="auto" w:sz="4" w:space="0"/>
              <w:bottom w:val="single" w:color="auto" w:sz="4" w:space="0"/>
              <w:right w:val="single" w:color="auto" w:sz="4" w:space="0"/>
            </w:tcBorders>
          </w:tcPr>
          <w:p>
            <w:pPr>
              <w:pStyle w:val="3"/>
              <w:adjustRightInd w:val="0"/>
              <w:snapToGrid w:val="0"/>
              <w:rPr>
                <w:rFonts w:hAnsi="宋体" w:cs="宋体"/>
                <w:color w:val="000000"/>
                <w:kern w:val="0"/>
                <w:sz w:val="18"/>
                <w:szCs w:val="18"/>
              </w:rPr>
            </w:pPr>
          </w:p>
          <w:p>
            <w:pPr>
              <w:pStyle w:val="3"/>
              <w:adjustRightInd w:val="0"/>
              <w:snapToGrid w:val="0"/>
              <w:rPr>
                <w:rFonts w:hAnsi="宋体" w:cs="宋体"/>
                <w:color w:val="000000"/>
                <w:kern w:val="0"/>
                <w:sz w:val="18"/>
                <w:szCs w:val="18"/>
              </w:rPr>
            </w:pPr>
          </w:p>
          <w:p>
            <w:pPr>
              <w:pStyle w:val="3"/>
              <w:adjustRightInd w:val="0"/>
              <w:snapToGrid w:val="0"/>
              <w:rPr>
                <w:rFonts w:hAnsi="宋体" w:cs="宋体"/>
                <w:color w:val="000000"/>
                <w:kern w:val="0"/>
                <w:sz w:val="18"/>
                <w:szCs w:val="18"/>
              </w:rPr>
            </w:pPr>
            <w:r>
              <w:rPr>
                <w:rFonts w:hint="eastAsia" w:hAnsi="宋体" w:cs="宋体"/>
                <w:color w:val="000000"/>
                <w:kern w:val="0"/>
                <w:sz w:val="18"/>
                <w:szCs w:val="18"/>
              </w:rPr>
              <w:t>纳税人、扣缴义务人法治观念不强、税法知识欠缺、税收遵从度不高、疏忽大意等等。</w:t>
            </w:r>
          </w:p>
        </w:tc>
        <w:tc>
          <w:tcPr>
            <w:tcW w:w="2551" w:type="dxa"/>
            <w:tcBorders>
              <w:top w:val="single" w:color="auto" w:sz="4" w:space="0"/>
              <w:left w:val="single" w:color="auto" w:sz="4" w:space="0"/>
              <w:bottom w:val="single" w:color="auto" w:sz="4" w:space="0"/>
              <w:right w:val="single" w:color="auto" w:sz="4" w:space="0"/>
            </w:tcBorders>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纳税人、</w:t>
            </w:r>
            <w:r>
              <w:rPr>
                <w:rFonts w:hAnsi="宋体" w:cs="宋体"/>
                <w:color w:val="000000"/>
                <w:kern w:val="0"/>
                <w:sz w:val="18"/>
                <w:szCs w:val="18"/>
              </w:rPr>
              <w:t>扣缴义务人</w:t>
            </w:r>
            <w:r>
              <w:rPr>
                <w:rFonts w:hint="eastAsia" w:hAnsi="宋体" w:cs="宋体"/>
                <w:color w:val="000000"/>
                <w:kern w:val="0"/>
                <w:sz w:val="18"/>
                <w:szCs w:val="18"/>
              </w:rPr>
              <w:t>依法办理纳税申报。</w:t>
            </w:r>
          </w:p>
          <w:p>
            <w:pPr>
              <w:pStyle w:val="3"/>
              <w:adjustRightInd w:val="0"/>
              <w:snapToGrid w:val="0"/>
              <w:rPr>
                <w:rFonts w:ascii="宋体" w:hAnsi="宋体" w:eastAsia="宋体" w:cs="宋体"/>
                <w:kern w:val="0"/>
                <w:sz w:val="18"/>
                <w:szCs w:val="18"/>
              </w:rPr>
            </w:pPr>
            <w:r>
              <w:rPr>
                <w:rFonts w:hint="eastAsia" w:hAnsi="宋体" w:cs="宋体"/>
                <w:color w:val="000000"/>
                <w:kern w:val="0"/>
                <w:sz w:val="18"/>
                <w:szCs w:val="18"/>
              </w:rPr>
              <w:t>税务机关组织新办纳税人参加纳税人学堂，了解相关税收政策、办税流程、软件操作、税控设备操作等，增强纳税人的纳税意识，提高其办税能力。优化申报系统，做好催报催缴，提醒纳税人按时办理纳税申报，降低风险。</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r>
              <w:rPr>
                <w:rFonts w:hint="eastAsia" w:hAnsi="宋体" w:cs="宋体"/>
                <w:color w:val="000000"/>
                <w:kern w:val="0"/>
                <w:sz w:val="18"/>
                <w:szCs w:val="18"/>
              </w:rPr>
              <w:tab/>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3.2</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违反纳税申报规定-</w:t>
            </w:r>
            <w:r>
              <w:rPr>
                <w:rFonts w:hAnsi="宋体" w:cs="宋体"/>
                <w:color w:val="000000"/>
                <w:kern w:val="0"/>
                <w:sz w:val="18"/>
                <w:szCs w:val="18"/>
              </w:rPr>
              <w:t>-</w:t>
            </w:r>
            <w:r>
              <w:rPr>
                <w:rFonts w:hint="eastAsia" w:hAnsi="宋体" w:cs="宋体"/>
                <w:color w:val="000000"/>
                <w:kern w:val="0"/>
                <w:sz w:val="18"/>
                <w:szCs w:val="18"/>
              </w:rPr>
              <w:t>纳税人、扣缴义务人编造虚假计税依据的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color w:val="000000"/>
                <w:kern w:val="0"/>
                <w:sz w:val="20"/>
              </w:rPr>
              <w:t>中</w:t>
            </w:r>
            <w:r>
              <w:rPr>
                <w:rFonts w:hAnsi="宋体"/>
                <w:color w:val="000000"/>
                <w:kern w:val="0"/>
                <w:sz w:val="20"/>
              </w:rPr>
              <w:t>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《中华人民共和国税收征收管理法》第六十四条第一款 纳税人、扣缴义务人编造虚假计税依据的，由税务机关责令限期改正，并处五万元以下的罚款。</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法治观念淡薄、税收遵从度低、经济利益驱动等。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纳税人、扣缴义务人依法如实办理纳税申报。</w:t>
            </w:r>
          </w:p>
          <w:p>
            <w:pPr>
              <w:pStyle w:val="3"/>
              <w:adjustRightInd w:val="0"/>
              <w:snapToGrid w:val="0"/>
              <w:rPr>
                <w:rFonts w:hAnsi="宋体" w:cs="宋体"/>
                <w:color w:val="000000"/>
                <w:kern w:val="0"/>
                <w:sz w:val="18"/>
                <w:szCs w:val="18"/>
              </w:rPr>
            </w:pPr>
            <w:r>
              <w:rPr>
                <w:rFonts w:hint="eastAsia" w:hAnsi="宋体" w:cs="宋体"/>
                <w:color w:val="000000"/>
                <w:kern w:val="0"/>
                <w:sz w:val="18"/>
                <w:szCs w:val="18"/>
              </w:rPr>
              <w:t>税务机关开展税法</w:t>
            </w:r>
            <w:r>
              <w:rPr>
                <w:rFonts w:hAnsi="宋体" w:cs="宋体"/>
                <w:color w:val="000000"/>
                <w:kern w:val="0"/>
                <w:sz w:val="18"/>
                <w:szCs w:val="18"/>
              </w:rPr>
              <w:t>宣传</w:t>
            </w:r>
            <w:r>
              <w:rPr>
                <w:rFonts w:hint="eastAsia" w:hAnsi="宋体" w:cs="宋体"/>
                <w:color w:val="000000"/>
                <w:kern w:val="0"/>
                <w:sz w:val="18"/>
                <w:szCs w:val="18"/>
              </w:rPr>
              <w:t>，增强纳税意识，如实办理纳税申报，减少税收风险。</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4.1</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违反税款征收规定-</w:t>
            </w:r>
            <w:r>
              <w:rPr>
                <w:rFonts w:hAnsi="宋体" w:cs="宋体"/>
                <w:color w:val="000000"/>
                <w:kern w:val="0"/>
                <w:sz w:val="18"/>
                <w:szCs w:val="18"/>
              </w:rPr>
              <w:t>-</w:t>
            </w:r>
            <w:r>
              <w:rPr>
                <w:rFonts w:hint="eastAsia" w:hAnsi="宋体" w:cs="宋体"/>
                <w:color w:val="000000"/>
                <w:kern w:val="0"/>
                <w:sz w:val="18"/>
                <w:szCs w:val="18"/>
              </w:rPr>
              <w:t>纳税人不进行纳税申报，不缴或者少缴应纳税款的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color w:val="000000"/>
                <w:kern w:val="0"/>
                <w:sz w:val="20"/>
              </w:rPr>
              <w:t>中风险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《中华人民共和国税收征收管理法》第六十四条第二款  纳税人不进行纳税申报，不缴或者少缴应纳税款的，由税务机关追缴其不缴或者少缴的税款、滞纳金，并处不缴或者少缴的税款百分之五十以上五倍以下的罚款。</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纳税人、扣缴义务人法治观念不强、税法知识欠缺、税收遵从度不高、疏忽大意等等。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纳税人</w:t>
            </w:r>
            <w:r>
              <w:rPr>
                <w:rFonts w:hAnsi="宋体" w:cs="宋体"/>
                <w:color w:val="000000"/>
                <w:kern w:val="0"/>
                <w:sz w:val="18"/>
                <w:szCs w:val="18"/>
              </w:rPr>
              <w:t>依法履行纳税</w:t>
            </w:r>
            <w:r>
              <w:rPr>
                <w:rFonts w:hint="eastAsia" w:hAnsi="宋体" w:cs="宋体"/>
                <w:color w:val="000000"/>
                <w:kern w:val="0"/>
                <w:sz w:val="18"/>
                <w:szCs w:val="18"/>
              </w:rPr>
              <w:t>申报</w:t>
            </w:r>
            <w:r>
              <w:rPr>
                <w:rFonts w:hAnsi="宋体" w:cs="宋体"/>
                <w:color w:val="000000"/>
                <w:kern w:val="0"/>
                <w:sz w:val="18"/>
                <w:szCs w:val="18"/>
              </w:rPr>
              <w:t>义务。</w:t>
            </w:r>
          </w:p>
          <w:p>
            <w:pPr>
              <w:pStyle w:val="3"/>
              <w:adjustRightInd w:val="0"/>
              <w:snapToGrid w:val="0"/>
              <w:rPr>
                <w:rFonts w:hAnsi="宋体" w:cs="宋体"/>
                <w:kern w:val="0"/>
                <w:sz w:val="18"/>
                <w:szCs w:val="18"/>
              </w:rPr>
            </w:pPr>
            <w:r>
              <w:rPr>
                <w:rFonts w:hint="eastAsia" w:hAnsi="宋体" w:cs="宋体"/>
                <w:color w:val="000000"/>
                <w:kern w:val="0"/>
                <w:sz w:val="18"/>
                <w:szCs w:val="18"/>
              </w:rPr>
              <w:t>税务机关加强</w:t>
            </w:r>
            <w:r>
              <w:rPr>
                <w:rFonts w:hAnsi="宋体" w:cs="宋体"/>
                <w:color w:val="000000"/>
                <w:kern w:val="0"/>
                <w:sz w:val="18"/>
                <w:szCs w:val="18"/>
              </w:rPr>
              <w:t>税法宣传，</w:t>
            </w:r>
            <w:r>
              <w:rPr>
                <w:rFonts w:hint="eastAsia" w:hAnsi="宋体" w:cs="宋体"/>
                <w:color w:val="000000"/>
                <w:kern w:val="0"/>
                <w:sz w:val="18"/>
                <w:szCs w:val="18"/>
              </w:rPr>
              <w:t>增强纳税人的纳税意识，减少税收风险。</w:t>
            </w:r>
          </w:p>
        </w:tc>
        <w:tc>
          <w:tcPr>
            <w:tcW w:w="778" w:type="dxa"/>
            <w:tcBorders>
              <w:top w:val="single" w:color="auto" w:sz="4" w:space="0"/>
              <w:left w:val="single" w:color="auto" w:sz="4" w:space="0"/>
              <w:bottom w:val="single" w:color="auto" w:sz="4" w:space="0"/>
              <w:right w:val="single" w:color="auto" w:sz="4" w:space="0"/>
            </w:tcBorders>
          </w:tcPr>
          <w:p>
            <w:pPr>
              <w:rPr>
                <w:rFonts w:ascii="宋体" w:hAnsi="宋体" w:eastAsia="宋体" w:cs="宋体"/>
                <w:kern w:val="0"/>
                <w:sz w:val="18"/>
                <w:szCs w:val="18"/>
              </w:rPr>
            </w:pPr>
          </w:p>
          <w:p>
            <w:pPr>
              <w:rPr>
                <w:kern w:val="0"/>
                <w:sz w:val="20"/>
              </w:rPr>
            </w:pPr>
            <w:r>
              <w:rPr>
                <w:rFonts w:hint="eastAsia" w:ascii="宋体" w:hAnsi="宋体" w:eastAsia="宋体" w:cs="宋体"/>
                <w:kern w:val="0"/>
                <w:sz w:val="18"/>
                <w:szCs w:val="18"/>
              </w:rPr>
              <w:t>县区级</w:t>
            </w:r>
            <w:r>
              <w:rPr>
                <w:rFonts w:ascii="宋体" w:hAnsi="宋体" w:eastAsia="宋体" w:cs="宋体"/>
                <w:kern w:val="0"/>
                <w:sz w:val="18"/>
                <w:szCs w:val="18"/>
              </w:rPr>
              <w:t>税务机关</w:t>
            </w:r>
          </w:p>
        </w:tc>
        <w:tc>
          <w:tcPr>
            <w:tcW w:w="70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Ansi="宋体" w:cs="宋体"/>
                <w:color w:val="000000"/>
                <w:kern w:val="0"/>
                <w:sz w:val="18"/>
                <w:szCs w:val="18"/>
              </w:rPr>
              <w:t>4.2</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违反税款征收规定-</w:t>
            </w:r>
            <w:r>
              <w:rPr>
                <w:rFonts w:hAnsi="宋体" w:cs="宋体"/>
                <w:color w:val="000000"/>
                <w:kern w:val="0"/>
                <w:sz w:val="18"/>
                <w:szCs w:val="18"/>
              </w:rPr>
              <w:t>-</w:t>
            </w:r>
            <w:r>
              <w:rPr>
                <w:rFonts w:hint="eastAsia" w:hAnsi="宋体" w:cs="宋体"/>
                <w:color w:val="000000"/>
                <w:kern w:val="0"/>
                <w:sz w:val="18"/>
                <w:szCs w:val="18"/>
              </w:rPr>
              <w:t>纳税人、扣缴义务人在规定期限内不缴或者少缴应纳或者应解缴的税款，经税务机关责令限期缴纳，逾期仍未缴纳的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color w:val="000000"/>
                <w:kern w:val="0"/>
                <w:sz w:val="20"/>
              </w:rPr>
              <w:t>高风险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《中华人民共和国税收征收管理法》第六十八条 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罚款。</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纳税人、扣缴义务人法治观念淡薄、税收遵从度不高。</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纳税人、扣缴义务人依法履行纳税义务。</w:t>
            </w:r>
          </w:p>
          <w:p>
            <w:pPr>
              <w:pStyle w:val="3"/>
              <w:adjustRightInd w:val="0"/>
              <w:snapToGrid w:val="0"/>
              <w:rPr>
                <w:rFonts w:hAnsi="宋体" w:cs="宋体"/>
                <w:kern w:val="0"/>
                <w:sz w:val="18"/>
                <w:szCs w:val="18"/>
              </w:rPr>
            </w:pPr>
            <w:r>
              <w:rPr>
                <w:rFonts w:hint="eastAsia" w:hAnsi="宋体" w:cs="宋体"/>
                <w:color w:val="000000"/>
                <w:kern w:val="0"/>
                <w:sz w:val="18"/>
                <w:szCs w:val="18"/>
              </w:rPr>
              <w:t>税务机关依法</w:t>
            </w:r>
            <w:r>
              <w:rPr>
                <w:rFonts w:hAnsi="宋体" w:cs="宋体"/>
                <w:color w:val="000000"/>
                <w:kern w:val="0"/>
                <w:sz w:val="18"/>
                <w:szCs w:val="18"/>
              </w:rPr>
              <w:t>做好催报催缴，履行规定告知程序，提醒</w:t>
            </w:r>
            <w:r>
              <w:rPr>
                <w:rFonts w:hint="eastAsia" w:hAnsi="宋体" w:cs="宋体"/>
                <w:color w:val="000000"/>
                <w:kern w:val="0"/>
                <w:sz w:val="18"/>
                <w:szCs w:val="18"/>
              </w:rPr>
              <w:t>涉税</w:t>
            </w:r>
            <w:r>
              <w:rPr>
                <w:rFonts w:hAnsi="宋体" w:cs="宋体"/>
                <w:color w:val="000000"/>
                <w:kern w:val="0"/>
                <w:sz w:val="18"/>
                <w:szCs w:val="18"/>
              </w:rPr>
              <w:t>风险和不按规定缴纳或解缴的法律风险</w:t>
            </w:r>
            <w:r>
              <w:rPr>
                <w:rFonts w:hint="eastAsia" w:hAnsi="宋体" w:cs="宋体"/>
                <w:color w:val="000000"/>
                <w:kern w:val="0"/>
                <w:sz w:val="18"/>
                <w:szCs w:val="18"/>
              </w:rPr>
              <w:t>。</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ascii="Times New Roman" w:hAnsi="Times New Roman" w:eastAsia="宋体" w:cs="Times New Roman"/>
                <w:kern w:val="0"/>
                <w:sz w:val="20"/>
                <w:szCs w:val="20"/>
              </w:rPr>
            </w:pPr>
            <w:r>
              <w:rPr>
                <w:rFonts w:hint="eastAsia" w:hAnsi="宋体" w:cs="宋体"/>
                <w:kern w:val="0"/>
                <w:sz w:val="18"/>
                <w:szCs w:val="18"/>
              </w:rPr>
              <w:t>县区级</w:t>
            </w:r>
            <w:r>
              <w:rPr>
                <w:rFonts w:hAnsi="宋体" w:cs="宋体"/>
                <w:kern w:val="0"/>
                <w:sz w:val="18"/>
                <w:szCs w:val="18"/>
              </w:rPr>
              <w:t>税务机关</w:t>
            </w:r>
          </w:p>
        </w:tc>
        <w:tc>
          <w:tcPr>
            <w:tcW w:w="70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4.3</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违反税款征收规定-</w:t>
            </w:r>
            <w:r>
              <w:rPr>
                <w:rFonts w:hAnsi="宋体" w:cs="宋体"/>
                <w:color w:val="000000"/>
                <w:kern w:val="0"/>
                <w:sz w:val="18"/>
                <w:szCs w:val="18"/>
              </w:rPr>
              <w:t>-</w:t>
            </w:r>
            <w:r>
              <w:rPr>
                <w:rFonts w:hint="eastAsia" w:hAnsi="宋体" w:cs="宋体"/>
                <w:color w:val="000000"/>
                <w:kern w:val="0"/>
                <w:sz w:val="18"/>
                <w:szCs w:val="18"/>
              </w:rPr>
              <w:t>扣缴义务人应扣未扣、应收未收税款的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color w:val="000000"/>
                <w:kern w:val="0"/>
                <w:sz w:val="20"/>
              </w:rPr>
              <w:t>中</w:t>
            </w:r>
            <w:r>
              <w:rPr>
                <w:rFonts w:hAnsi="宋体"/>
                <w:color w:val="000000"/>
                <w:kern w:val="0"/>
                <w:sz w:val="20"/>
              </w:rPr>
              <w:t>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《中华人民共和国税收征收管理法》第六十九条扣缴义务人应扣未扣、应收而不收税款的，由税务机关向纳税人追缴税款，对扣缴义务人处应扣未扣、应收未收税款百分之五十以上三倍以下的罚款。</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扣缴义务人法治观念不强、税收遵从度不高、疏忽大意等等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扣缴义务人依法</w:t>
            </w:r>
            <w:r>
              <w:rPr>
                <w:rFonts w:hAnsi="宋体" w:cs="宋体"/>
                <w:color w:val="000000"/>
                <w:kern w:val="0"/>
                <w:sz w:val="18"/>
                <w:szCs w:val="18"/>
              </w:rPr>
              <w:t>扣缴税款。</w:t>
            </w:r>
          </w:p>
          <w:p>
            <w:pPr>
              <w:pStyle w:val="3"/>
              <w:adjustRightInd w:val="0"/>
              <w:snapToGrid w:val="0"/>
              <w:rPr>
                <w:rFonts w:hAnsi="宋体" w:cs="宋体"/>
                <w:kern w:val="0"/>
                <w:sz w:val="18"/>
                <w:szCs w:val="18"/>
              </w:rPr>
            </w:pPr>
            <w:r>
              <w:rPr>
                <w:rFonts w:hint="eastAsia" w:hAnsi="宋体" w:cs="宋体"/>
                <w:color w:val="000000"/>
                <w:kern w:val="0"/>
                <w:sz w:val="18"/>
                <w:szCs w:val="18"/>
              </w:rPr>
              <w:t>税务机关加强</w:t>
            </w:r>
            <w:r>
              <w:rPr>
                <w:rFonts w:hAnsi="宋体" w:cs="宋体"/>
                <w:color w:val="000000"/>
                <w:kern w:val="0"/>
                <w:sz w:val="18"/>
                <w:szCs w:val="18"/>
              </w:rPr>
              <w:t>宣传</w:t>
            </w:r>
            <w:r>
              <w:rPr>
                <w:rFonts w:hint="eastAsia" w:hAnsi="宋体" w:cs="宋体"/>
                <w:color w:val="000000"/>
                <w:kern w:val="0"/>
                <w:sz w:val="18"/>
                <w:szCs w:val="18"/>
              </w:rPr>
              <w:t>辅导</w:t>
            </w:r>
            <w:r>
              <w:rPr>
                <w:rFonts w:hAnsi="宋体" w:cs="宋体"/>
                <w:color w:val="000000"/>
                <w:kern w:val="0"/>
                <w:sz w:val="18"/>
                <w:szCs w:val="18"/>
              </w:rPr>
              <w:t>，纳税人拒绝扣缴</w:t>
            </w:r>
            <w:r>
              <w:rPr>
                <w:rFonts w:hint="eastAsia" w:hAnsi="宋体" w:cs="宋体"/>
                <w:color w:val="000000"/>
                <w:kern w:val="0"/>
                <w:sz w:val="18"/>
                <w:szCs w:val="18"/>
              </w:rPr>
              <w:t>税款</w:t>
            </w:r>
            <w:r>
              <w:rPr>
                <w:rFonts w:hAnsi="宋体" w:cs="宋体"/>
                <w:color w:val="000000"/>
                <w:kern w:val="0"/>
                <w:sz w:val="18"/>
                <w:szCs w:val="18"/>
              </w:rPr>
              <w:t>的</w:t>
            </w:r>
            <w:r>
              <w:rPr>
                <w:rFonts w:hint="eastAsia" w:hAnsi="宋体" w:cs="宋体"/>
                <w:color w:val="000000"/>
                <w:kern w:val="0"/>
                <w:sz w:val="18"/>
                <w:szCs w:val="18"/>
              </w:rPr>
              <w:t>，扣缴义务人</w:t>
            </w:r>
            <w:r>
              <w:rPr>
                <w:rFonts w:hAnsi="宋体" w:cs="宋体"/>
                <w:color w:val="000000"/>
                <w:kern w:val="0"/>
                <w:sz w:val="18"/>
                <w:szCs w:val="18"/>
              </w:rPr>
              <w:t>及时向税务机关报告。</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kern w:val="0"/>
                <w:sz w:val="20"/>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4.4</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违反税款征收规定-</w:t>
            </w:r>
            <w:r>
              <w:rPr>
                <w:rFonts w:hAnsi="宋体" w:cs="宋体"/>
                <w:color w:val="000000"/>
                <w:kern w:val="0"/>
                <w:sz w:val="18"/>
                <w:szCs w:val="18"/>
              </w:rPr>
              <w:t>-</w:t>
            </w:r>
            <w:r>
              <w:rPr>
                <w:rFonts w:hint="eastAsia" w:hAnsi="宋体" w:cs="宋体"/>
                <w:color w:val="000000"/>
                <w:kern w:val="0"/>
                <w:sz w:val="18"/>
                <w:szCs w:val="18"/>
              </w:rPr>
              <w:t>为纳税人、扣缴义务人非法提供银行账户、发票、证明或者其他方便，导致未缴、少缴税款或者骗取国家出口退税款的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color w:val="000000"/>
                <w:kern w:val="0"/>
                <w:sz w:val="20"/>
              </w:rPr>
              <w:t>中</w:t>
            </w:r>
            <w:r>
              <w:rPr>
                <w:rFonts w:hAnsi="宋体"/>
                <w:color w:val="000000"/>
                <w:kern w:val="0"/>
                <w:sz w:val="20"/>
              </w:rPr>
              <w:t>风险</w:t>
            </w:r>
          </w:p>
        </w:tc>
        <w:tc>
          <w:tcPr>
            <w:tcW w:w="41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《中华人民共和国税收征收管理法实施细则》第九十三条 为纳税人、扣缴义务人非法提供银行账户、发票、证明或者其他方便，导致未缴、少缴税款或者骗取国家出口退税款的，税务机关除没收其违法所得外，可以处未缴、少缴或者骗取的税款１倍以下的罚款。</w:t>
            </w:r>
          </w:p>
          <w:p>
            <w:pPr>
              <w:pStyle w:val="3"/>
              <w:adjustRightInd w:val="0"/>
              <w:snapToGrid w:val="0"/>
              <w:ind w:firstLine="360" w:firstLineChars="200"/>
              <w:jc w:val="left"/>
              <w:rPr>
                <w:rFonts w:hAnsi="宋体" w:cs="宋体"/>
                <w:color w:val="000000"/>
                <w:kern w:val="0"/>
                <w:sz w:val="18"/>
                <w:szCs w:val="18"/>
              </w:rPr>
            </w:pP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法治观念不强、税收遵从度不高、合规经营</w:t>
            </w:r>
            <w:r>
              <w:rPr>
                <w:rFonts w:hAnsi="宋体" w:cs="宋体"/>
                <w:color w:val="000000"/>
                <w:kern w:val="0"/>
                <w:sz w:val="18"/>
                <w:szCs w:val="18"/>
              </w:rPr>
              <w:t>意识欠缺</w:t>
            </w:r>
            <w:r>
              <w:rPr>
                <w:rFonts w:hint="eastAsia" w:hAnsi="宋体" w:cs="宋体"/>
                <w:color w:val="000000"/>
                <w:kern w:val="0"/>
                <w:sz w:val="18"/>
                <w:szCs w:val="18"/>
              </w:rPr>
              <w:t>等</w:t>
            </w:r>
            <w:r>
              <w:rPr>
                <w:rFonts w:hAnsi="宋体" w:cs="宋体"/>
                <w:color w:val="000000"/>
                <w:kern w:val="0"/>
                <w:sz w:val="18"/>
                <w:szCs w:val="18"/>
              </w:rPr>
              <w:t>。</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hAnsi="宋体" w:cs="宋体"/>
                <w:color w:val="000000"/>
                <w:kern w:val="0"/>
                <w:sz w:val="18"/>
                <w:szCs w:val="18"/>
              </w:rPr>
            </w:pPr>
            <w:r>
              <w:rPr>
                <w:rFonts w:hint="eastAsia" w:ascii="宋体" w:hAnsi="宋体" w:eastAsia="宋体" w:cs="宋体"/>
                <w:kern w:val="0"/>
                <w:sz w:val="18"/>
                <w:szCs w:val="18"/>
              </w:rPr>
              <w:t>相关行政</w:t>
            </w:r>
            <w:r>
              <w:rPr>
                <w:rFonts w:ascii="宋体" w:hAnsi="宋体" w:eastAsia="宋体" w:cs="宋体"/>
                <w:kern w:val="0"/>
                <w:sz w:val="18"/>
                <w:szCs w:val="18"/>
              </w:rPr>
              <w:t>相对人按国家</w:t>
            </w:r>
            <w:r>
              <w:rPr>
                <w:rFonts w:hint="eastAsia" w:ascii="宋体" w:hAnsi="宋体" w:eastAsia="宋体" w:cs="宋体"/>
                <w:kern w:val="0"/>
                <w:sz w:val="18"/>
                <w:szCs w:val="18"/>
              </w:rPr>
              <w:t>规定</w:t>
            </w:r>
            <w:r>
              <w:rPr>
                <w:rFonts w:ascii="宋体" w:hAnsi="宋体" w:eastAsia="宋体" w:cs="宋体"/>
                <w:kern w:val="0"/>
                <w:sz w:val="18"/>
                <w:szCs w:val="18"/>
              </w:rPr>
              <w:t>使用</w:t>
            </w:r>
            <w:r>
              <w:rPr>
                <w:rFonts w:hint="eastAsia" w:ascii="宋体" w:hAnsi="宋体" w:eastAsia="宋体" w:cs="宋体"/>
                <w:kern w:val="0"/>
                <w:sz w:val="18"/>
                <w:szCs w:val="18"/>
              </w:rPr>
              <w:t>银行</w:t>
            </w:r>
            <w:r>
              <w:rPr>
                <w:rFonts w:ascii="宋体" w:hAnsi="宋体" w:eastAsia="宋体" w:cs="宋体"/>
                <w:kern w:val="0"/>
                <w:sz w:val="18"/>
                <w:szCs w:val="18"/>
              </w:rPr>
              <w:t>账户</w:t>
            </w:r>
            <w:r>
              <w:rPr>
                <w:rFonts w:hint="eastAsia" w:ascii="宋体" w:hAnsi="宋体" w:eastAsia="宋体" w:cs="宋体"/>
                <w:kern w:val="0"/>
                <w:sz w:val="18"/>
                <w:szCs w:val="18"/>
              </w:rPr>
              <w:t>、发票</w:t>
            </w:r>
            <w:r>
              <w:rPr>
                <w:rFonts w:ascii="宋体" w:hAnsi="宋体" w:eastAsia="宋体" w:cs="宋体"/>
                <w:kern w:val="0"/>
                <w:sz w:val="18"/>
                <w:szCs w:val="18"/>
              </w:rPr>
              <w:t>等，</w:t>
            </w:r>
            <w:r>
              <w:rPr>
                <w:rFonts w:hint="eastAsia" w:ascii="宋体" w:hAnsi="宋体" w:eastAsia="宋体" w:cs="宋体"/>
                <w:kern w:val="0"/>
                <w:sz w:val="18"/>
                <w:szCs w:val="18"/>
              </w:rPr>
              <w:t>降低</w:t>
            </w:r>
            <w:r>
              <w:rPr>
                <w:rFonts w:ascii="宋体" w:hAnsi="宋体" w:eastAsia="宋体" w:cs="宋体"/>
                <w:kern w:val="0"/>
                <w:sz w:val="18"/>
                <w:szCs w:val="18"/>
              </w:rPr>
              <w:t>违规带来的风险。</w:t>
            </w:r>
            <w:r>
              <w:rPr>
                <w:rFonts w:hint="eastAsia" w:ascii="宋体" w:hAnsi="宋体" w:eastAsia="宋体" w:cs="宋体"/>
                <w:kern w:val="0"/>
                <w:sz w:val="18"/>
                <w:szCs w:val="18"/>
              </w:rPr>
              <w:t>同时加大查处力度，震慑违规者。</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4.5</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违反税款征收规定-</w:t>
            </w:r>
            <w:r>
              <w:rPr>
                <w:rFonts w:hAnsi="宋体" w:cs="宋体"/>
                <w:color w:val="000000"/>
                <w:kern w:val="0"/>
                <w:sz w:val="18"/>
                <w:szCs w:val="18"/>
              </w:rPr>
              <w:t>-</w:t>
            </w:r>
            <w:r>
              <w:rPr>
                <w:rFonts w:hint="eastAsia" w:hAnsi="宋体" w:cs="宋体"/>
                <w:color w:val="000000"/>
                <w:kern w:val="0"/>
                <w:sz w:val="18"/>
                <w:szCs w:val="18"/>
              </w:rPr>
              <w:t>纳税人伪造、变造、隐匿、擅自销毁账簿、记账凭证，或者在账簿上多列支出或者不列、少列收入，或者经税务机关通知申报而拒不申报或者进行虚假的纳税申报，不缴或者少缴应纳税款；扣缴义务人采取上述手段，不缴或者少缴已扣、已收税款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color w:val="000000"/>
                <w:kern w:val="0"/>
                <w:sz w:val="20"/>
              </w:rPr>
              <w:t>高风险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《中华人民共和国税收征收管理法》第六十三条 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扣缴义务人采取前款所列手段，不缴或者少缴已扣、已收税款，由税务机关追缴其不缴或者少缴的税款、滞纳金，并处不缴或者少缴的税款百分之五十以上五倍以下的罚款；构成犯罪的，依法追究刑事责任。</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法治观念淡薄、税收遵从度不高、经济利益驱动等。</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hAnsi="宋体" w:eastAsia="宋体" w:cs="宋体"/>
                <w:kern w:val="0"/>
                <w:sz w:val="18"/>
                <w:szCs w:val="18"/>
              </w:rPr>
            </w:pPr>
            <w:r>
              <w:rPr>
                <w:rFonts w:hint="eastAsia" w:ascii="宋体" w:hAnsi="宋体" w:eastAsia="宋体" w:cs="宋体"/>
                <w:kern w:val="0"/>
                <w:sz w:val="18"/>
                <w:szCs w:val="18"/>
              </w:rPr>
              <w:t>纳税人、扣缴</w:t>
            </w:r>
            <w:r>
              <w:rPr>
                <w:rFonts w:ascii="宋体" w:hAnsi="宋体" w:eastAsia="宋体" w:cs="宋体"/>
                <w:kern w:val="0"/>
                <w:sz w:val="18"/>
                <w:szCs w:val="18"/>
              </w:rPr>
              <w:t>义务人</w:t>
            </w:r>
            <w:r>
              <w:rPr>
                <w:rFonts w:hint="eastAsia" w:ascii="宋体" w:hAnsi="宋体" w:eastAsia="宋体" w:cs="宋体"/>
                <w:kern w:val="0"/>
                <w:sz w:val="18"/>
                <w:szCs w:val="18"/>
              </w:rPr>
              <w:t>依法履行纳税义务。</w:t>
            </w:r>
          </w:p>
          <w:p>
            <w:pPr>
              <w:shd w:val="clear" w:color="auto" w:fill="FFFFFF"/>
              <w:rPr>
                <w:rFonts w:ascii="宋体" w:hAnsi="宋体" w:eastAsia="宋体" w:cs="宋体"/>
                <w:kern w:val="0"/>
                <w:sz w:val="18"/>
                <w:szCs w:val="18"/>
              </w:rPr>
            </w:pPr>
            <w:r>
              <w:rPr>
                <w:rFonts w:hint="eastAsia" w:ascii="宋体" w:hAnsi="宋体" w:eastAsia="宋体" w:cs="宋体"/>
                <w:kern w:val="0"/>
                <w:sz w:val="18"/>
                <w:szCs w:val="18"/>
              </w:rPr>
              <w:t>税务</w:t>
            </w:r>
            <w:r>
              <w:rPr>
                <w:rFonts w:ascii="宋体" w:hAnsi="宋体" w:eastAsia="宋体" w:cs="宋体"/>
                <w:kern w:val="0"/>
                <w:sz w:val="18"/>
                <w:szCs w:val="18"/>
              </w:rPr>
              <w:t>机关</w:t>
            </w:r>
            <w:r>
              <w:rPr>
                <w:rFonts w:hint="eastAsia" w:ascii="宋体" w:hAnsi="宋体" w:eastAsia="宋体" w:cs="宋体"/>
                <w:kern w:val="0"/>
                <w:sz w:val="18"/>
                <w:szCs w:val="18"/>
              </w:rPr>
              <w:t>加强税法宣传，强化政策辅导，增强纳税人的纳税意识，提高纳税人的税法遵从度。加大查处力度，做好行政处罚案件结果和重大税收违法失信案件信息公示工作，同时畅通举报渠道，加强社会监督。</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4.6</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违反税款征收规定-</w:t>
            </w:r>
            <w:r>
              <w:rPr>
                <w:rFonts w:hAnsi="宋体" w:cs="宋体"/>
                <w:color w:val="000000"/>
                <w:kern w:val="0"/>
                <w:sz w:val="18"/>
                <w:szCs w:val="18"/>
              </w:rPr>
              <w:t>-</w:t>
            </w:r>
            <w:r>
              <w:rPr>
                <w:rFonts w:hint="eastAsia" w:hAnsi="宋体" w:cs="宋体"/>
                <w:color w:val="000000"/>
                <w:kern w:val="0"/>
                <w:sz w:val="18"/>
                <w:szCs w:val="18"/>
              </w:rPr>
              <w:t>纳税人欠缴应纳税款，采取转移或者隐匿财产的手段，妨碍税务机关追缴欠缴税款的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color w:val="000000"/>
                <w:kern w:val="0"/>
                <w:sz w:val="20"/>
              </w:rPr>
              <w:t>高风险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《中华人民共和国税收征收管理法》第六十五条 纳税人欠缴应纳税款，采取转移或者隐匿财产的手段，妨碍税务机关追缴欠缴的税款的，由税务机关追缴欠缴的税款、滞纳金，并处欠缴税款百分之五十以上五倍以下的罚款；构成犯罪的，依法追究刑事责任。</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法治观念淡薄、税收遵从度不高、经济利益驱动等。</w:t>
            </w:r>
          </w:p>
        </w:tc>
        <w:tc>
          <w:tcPr>
            <w:tcW w:w="2551" w:type="dxa"/>
            <w:tcBorders>
              <w:top w:val="single" w:color="auto" w:sz="4" w:space="0"/>
              <w:left w:val="single" w:color="auto" w:sz="4" w:space="0"/>
              <w:bottom w:val="single" w:color="auto" w:sz="4" w:space="0"/>
              <w:right w:val="single" w:color="auto" w:sz="4" w:space="0"/>
            </w:tcBorders>
            <w:vAlign w:val="center"/>
          </w:tcPr>
          <w:p>
            <w:pPr>
              <w:shd w:val="clear" w:color="auto" w:fill="FFFFFF"/>
              <w:rPr>
                <w:rFonts w:ascii="宋体" w:hAnsi="宋体" w:eastAsia="宋体" w:cs="宋体"/>
                <w:kern w:val="0"/>
                <w:sz w:val="18"/>
                <w:szCs w:val="18"/>
              </w:rPr>
            </w:pPr>
            <w:r>
              <w:rPr>
                <w:rFonts w:hint="eastAsia" w:ascii="宋体" w:hAnsi="宋体" w:eastAsia="宋体" w:cs="宋体"/>
                <w:kern w:val="0"/>
                <w:sz w:val="18"/>
                <w:szCs w:val="18"/>
              </w:rPr>
              <w:t>纳税人依法履行纳税义务。</w:t>
            </w:r>
          </w:p>
          <w:p>
            <w:pPr>
              <w:shd w:val="clear" w:color="auto" w:fill="FFFFFF"/>
              <w:rPr>
                <w:rFonts w:ascii="宋体" w:hAnsi="宋体" w:eastAsia="宋体" w:cs="宋体"/>
                <w:kern w:val="0"/>
                <w:sz w:val="18"/>
                <w:szCs w:val="18"/>
              </w:rPr>
            </w:pPr>
            <w:r>
              <w:rPr>
                <w:rFonts w:hint="eastAsia" w:ascii="宋体" w:hAnsi="宋体" w:eastAsia="宋体" w:cs="宋体"/>
                <w:kern w:val="0"/>
                <w:sz w:val="18"/>
                <w:szCs w:val="18"/>
              </w:rPr>
              <w:t>税务机关加大查处力度，做好行政处罚案件结果和重大税收违法失信案件信息公示工作，同时畅通举报渠道，加强社会监督，</w:t>
            </w:r>
            <w:r>
              <w:rPr>
                <w:rFonts w:ascii="宋体" w:hAnsi="宋体" w:eastAsia="宋体" w:cs="宋体"/>
                <w:kern w:val="0"/>
                <w:sz w:val="18"/>
                <w:szCs w:val="18"/>
              </w:rPr>
              <w:t>引导纳税人</w:t>
            </w:r>
            <w:r>
              <w:rPr>
                <w:rFonts w:hint="eastAsia" w:ascii="宋体" w:hAnsi="宋体" w:eastAsia="宋体" w:cs="宋体"/>
                <w:kern w:val="0"/>
                <w:sz w:val="18"/>
                <w:szCs w:val="18"/>
              </w:rPr>
              <w:t>遵从</w:t>
            </w:r>
            <w:r>
              <w:rPr>
                <w:rFonts w:ascii="宋体" w:hAnsi="宋体" w:eastAsia="宋体" w:cs="宋体"/>
                <w:kern w:val="0"/>
                <w:sz w:val="18"/>
                <w:szCs w:val="18"/>
              </w:rPr>
              <w:t>税收法律法规</w:t>
            </w:r>
            <w:r>
              <w:rPr>
                <w:rFonts w:hint="eastAsia" w:ascii="宋体" w:hAnsi="宋体" w:eastAsia="宋体" w:cs="宋体"/>
                <w:kern w:val="0"/>
                <w:sz w:val="18"/>
                <w:szCs w:val="18"/>
              </w:rPr>
              <w:t>。</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4.7</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违反税款征收规定</w:t>
            </w:r>
            <w:r>
              <w:rPr>
                <w:rFonts w:hAnsi="宋体" w:cs="宋体"/>
                <w:color w:val="000000"/>
                <w:kern w:val="0"/>
                <w:sz w:val="18"/>
                <w:szCs w:val="18"/>
              </w:rPr>
              <w:t>--</w:t>
            </w:r>
            <w:r>
              <w:rPr>
                <w:rFonts w:hint="eastAsia" w:hAnsi="宋体" w:cs="宋体"/>
                <w:color w:val="000000"/>
                <w:kern w:val="0"/>
                <w:sz w:val="18"/>
                <w:szCs w:val="18"/>
              </w:rPr>
              <w:t>以假报出口或者其他欺骗手段，骗取国家出口退税款的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olor w:val="000000"/>
                <w:kern w:val="0"/>
                <w:sz w:val="20"/>
              </w:rPr>
            </w:pPr>
            <w:r>
              <w:rPr>
                <w:rFonts w:hint="eastAsia" w:hAnsi="宋体"/>
                <w:kern w:val="0"/>
                <w:sz w:val="20"/>
              </w:rPr>
              <w:t>高风险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 xml:space="preserve"> 《中华人民共和国税收征收管理法》第六十六条 以假报出口或者其他欺骗手段，骗取国家出口退税款，由税务机关追缴其骗取的退税款，并处骗取税款一倍以上五倍以下的罚款；构成犯罪的，依法追究刑事责任。</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对骗取国家出口退税款的，税务机关可以在规定期间内停止为其办理出口退税。</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法治观念淡薄、税收遵从度低、经济利益驱动等。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kern w:val="0"/>
                <w:sz w:val="18"/>
                <w:szCs w:val="18"/>
              </w:rPr>
            </w:pPr>
            <w:r>
              <w:rPr>
                <w:rFonts w:hint="eastAsia" w:hAnsi="宋体" w:cs="宋体"/>
                <w:kern w:val="0"/>
                <w:sz w:val="18"/>
                <w:szCs w:val="18"/>
              </w:rPr>
              <w:t>纳税人依法</w:t>
            </w:r>
            <w:r>
              <w:rPr>
                <w:rFonts w:hAnsi="宋体" w:cs="宋体"/>
                <w:kern w:val="0"/>
                <w:sz w:val="18"/>
                <w:szCs w:val="18"/>
              </w:rPr>
              <w:t>如实办理</w:t>
            </w:r>
            <w:r>
              <w:rPr>
                <w:rFonts w:hint="eastAsia" w:hAnsi="宋体" w:cs="宋体"/>
                <w:kern w:val="0"/>
                <w:sz w:val="18"/>
                <w:szCs w:val="18"/>
              </w:rPr>
              <w:t>出口</w:t>
            </w:r>
            <w:r>
              <w:rPr>
                <w:rFonts w:hAnsi="宋体" w:cs="宋体"/>
                <w:kern w:val="0"/>
                <w:sz w:val="18"/>
                <w:szCs w:val="18"/>
              </w:rPr>
              <w:t>退税</w:t>
            </w:r>
            <w:r>
              <w:rPr>
                <w:rFonts w:hint="eastAsia" w:hAnsi="宋体" w:cs="宋体"/>
                <w:kern w:val="0"/>
                <w:sz w:val="18"/>
                <w:szCs w:val="18"/>
              </w:rPr>
              <w:t>业务。</w:t>
            </w:r>
          </w:p>
          <w:p>
            <w:pPr>
              <w:pStyle w:val="3"/>
              <w:adjustRightInd w:val="0"/>
              <w:snapToGrid w:val="0"/>
              <w:jc w:val="left"/>
              <w:rPr>
                <w:rFonts w:ascii="Calibri" w:hAnsi="宋体" w:eastAsia="宋体" w:cs="宋体"/>
                <w:color w:val="FF0000"/>
                <w:kern w:val="0"/>
                <w:sz w:val="18"/>
                <w:szCs w:val="18"/>
              </w:rPr>
            </w:pPr>
            <w:r>
              <w:rPr>
                <w:rFonts w:hint="eastAsia" w:hAnsi="宋体" w:cs="宋体"/>
                <w:kern w:val="0"/>
                <w:sz w:val="18"/>
                <w:szCs w:val="18"/>
              </w:rPr>
              <w:t>税务机关大力宣传有关骗取国家出口退税款的法律责任的规定，让纳税人、社会公众了解骗取国家出口退税的严重后果；税务机关</w:t>
            </w:r>
            <w:r>
              <w:rPr>
                <w:rFonts w:hAnsi="宋体" w:cs="宋体"/>
                <w:kern w:val="0"/>
                <w:sz w:val="18"/>
                <w:szCs w:val="18"/>
              </w:rPr>
              <w:t>和司法机关</w:t>
            </w:r>
            <w:r>
              <w:rPr>
                <w:rFonts w:hint="eastAsia" w:hAnsi="宋体" w:cs="宋体"/>
                <w:kern w:val="0"/>
                <w:sz w:val="18"/>
                <w:szCs w:val="18"/>
              </w:rPr>
              <w:t>加大查处和打击力度，做好行政处罚案件结果和重大税收违法失信案件信息公示工作，同时畅通举报渠道，加强社会监督。</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4.8</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违反税款征收规定-</w:t>
            </w:r>
            <w:r>
              <w:rPr>
                <w:rFonts w:hAnsi="宋体" w:cs="宋体"/>
                <w:color w:val="000000"/>
                <w:kern w:val="0"/>
                <w:sz w:val="18"/>
                <w:szCs w:val="18"/>
              </w:rPr>
              <w:t>-</w:t>
            </w:r>
            <w:r>
              <w:rPr>
                <w:rFonts w:hint="eastAsia" w:hAnsi="宋体" w:cs="宋体"/>
                <w:color w:val="000000"/>
                <w:kern w:val="0"/>
                <w:sz w:val="18"/>
                <w:szCs w:val="18"/>
              </w:rPr>
              <w:t>对以暴力、威胁方法拒不缴纳税款的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kern w:val="0"/>
                <w:sz w:val="20"/>
              </w:rPr>
            </w:pPr>
            <w:r>
              <w:rPr>
                <w:rFonts w:hint="eastAsia" w:hAnsi="宋体"/>
                <w:kern w:val="0"/>
                <w:sz w:val="20"/>
              </w:rPr>
              <w:t>高风险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《中华人民共和国税收征收管理法》第六十七条 以暴力、威胁方法拒不缴纳税款的，是抗税，除由税务机关追缴其拒缴的税款、滞纳金外，依法追究刑事责任。情节轻微，未构成犯罪的，由税务机关追缴其拒缴的税款、滞纳金，并处拒缴税款一倍以上五倍以下的罚款。</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法治观念淡薄、税收遵从度低、经济利益驱动等。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kern w:val="0"/>
                <w:sz w:val="18"/>
                <w:szCs w:val="18"/>
              </w:rPr>
            </w:pPr>
            <w:r>
              <w:rPr>
                <w:rFonts w:hint="eastAsia" w:hAnsi="宋体" w:cs="宋体"/>
                <w:kern w:val="0"/>
                <w:sz w:val="18"/>
                <w:szCs w:val="18"/>
              </w:rPr>
              <w:t>纳税人依法履行纳税义务。税务机关加强税法宣传，强化政策辅导，推行</w:t>
            </w:r>
            <w:r>
              <w:rPr>
                <w:rFonts w:hAnsi="宋体" w:cs="宋体"/>
                <w:kern w:val="0"/>
                <w:sz w:val="18"/>
                <w:szCs w:val="18"/>
              </w:rPr>
              <w:t>说理式执法，杜绝简单粗暴执法。</w:t>
            </w:r>
            <w:r>
              <w:rPr>
                <w:rFonts w:hint="eastAsia" w:hAnsi="宋体" w:cs="宋体"/>
                <w:kern w:val="0"/>
                <w:sz w:val="18"/>
                <w:szCs w:val="18"/>
              </w:rPr>
              <w:t>税务机关</w:t>
            </w:r>
            <w:r>
              <w:rPr>
                <w:rFonts w:hAnsi="宋体" w:cs="宋体"/>
                <w:kern w:val="0"/>
                <w:sz w:val="18"/>
                <w:szCs w:val="18"/>
              </w:rPr>
              <w:t>和司法机关</w:t>
            </w:r>
            <w:r>
              <w:rPr>
                <w:rFonts w:hint="eastAsia" w:hAnsi="宋体" w:cs="宋体"/>
                <w:kern w:val="0"/>
                <w:sz w:val="18"/>
                <w:szCs w:val="18"/>
              </w:rPr>
              <w:t>加大对</w:t>
            </w:r>
            <w:r>
              <w:rPr>
                <w:rFonts w:hAnsi="宋体" w:cs="宋体"/>
                <w:kern w:val="0"/>
                <w:sz w:val="18"/>
                <w:szCs w:val="18"/>
              </w:rPr>
              <w:t>暴力抗税案件</w:t>
            </w:r>
            <w:r>
              <w:rPr>
                <w:rFonts w:hint="eastAsia" w:hAnsi="宋体" w:cs="宋体"/>
                <w:kern w:val="0"/>
                <w:sz w:val="18"/>
                <w:szCs w:val="18"/>
              </w:rPr>
              <w:t>查处和</w:t>
            </w:r>
            <w:r>
              <w:rPr>
                <w:rFonts w:hAnsi="宋体" w:cs="宋体"/>
                <w:kern w:val="0"/>
                <w:sz w:val="18"/>
                <w:szCs w:val="18"/>
              </w:rPr>
              <w:t>打击</w:t>
            </w:r>
            <w:r>
              <w:rPr>
                <w:rFonts w:hint="eastAsia" w:hAnsi="宋体" w:cs="宋体"/>
                <w:kern w:val="0"/>
                <w:sz w:val="18"/>
                <w:szCs w:val="18"/>
              </w:rPr>
              <w:t>力度。</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5.</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违反税务检查管理-</w:t>
            </w:r>
            <w:r>
              <w:rPr>
                <w:rFonts w:hAnsi="宋体" w:cs="宋体"/>
                <w:color w:val="000000"/>
                <w:kern w:val="0"/>
                <w:sz w:val="18"/>
                <w:szCs w:val="18"/>
              </w:rPr>
              <w:t>-</w:t>
            </w:r>
            <w:r>
              <w:rPr>
                <w:rFonts w:hint="eastAsia" w:hAnsi="宋体" w:cs="宋体"/>
                <w:color w:val="000000"/>
                <w:kern w:val="0"/>
                <w:sz w:val="18"/>
                <w:szCs w:val="18"/>
              </w:rPr>
              <w:t>纳税人、扣缴义务人逃避、拒绝或者以其他方式阻挠税务机关检查的</w:t>
            </w:r>
            <w:r>
              <w:rPr>
                <w:rFonts w:hint="eastAsia" w:hAnsi="宋体" w:cs="宋体"/>
                <w:color w:val="000000"/>
                <w:kern w:val="0"/>
                <w:sz w:val="18"/>
                <w:szCs w:val="18"/>
              </w:rPr>
              <w:tab/>
            </w:r>
          </w:p>
          <w:p>
            <w:pPr>
              <w:pStyle w:val="3"/>
              <w:adjustRightInd w:val="0"/>
              <w:snapToGrid w:val="0"/>
              <w:rPr>
                <w:rFonts w:hAnsi="宋体" w:cs="宋体"/>
                <w:color w:val="000000"/>
                <w:kern w:val="0"/>
                <w:sz w:val="18"/>
                <w:szCs w:val="18"/>
              </w:rPr>
            </w:pP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kern w:val="0"/>
                <w:sz w:val="20"/>
              </w:rPr>
            </w:pPr>
            <w:r>
              <w:rPr>
                <w:rFonts w:hint="eastAsia" w:hAnsi="宋体"/>
                <w:kern w:val="0"/>
                <w:sz w:val="20"/>
              </w:rPr>
              <w:t>高风险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1.《中华人民共和国税收征收管理法》第七十条 纳税人、扣缴义务人逃避、拒绝或者以其他方式阻挠税务机关检查的，由税务机关责令改正，可以处一万元以下的罚款；情节严重的，处一万元以上五万元以下的罚款。</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2.《中华人民共和国税收征收管理法实施细则》第九十六条纳税人、扣缴义务人有下列情形之一的，依照税收征管法第七十条的规定处罚：</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（一）提供虚假资料，不如实反映情况，或者拒绝提供有关资料的；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（二）拒绝或者阻止税务机关记录、录音、录像、照相和复制与案件有关的情况和资料的；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（三）在检查期间，纳税人、扣缴义务人转移、隐匿、销毁有关资料的；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（四）有不依法接受税务检查的其他情形的。</w:t>
            </w:r>
          </w:p>
          <w:p>
            <w:pPr>
              <w:pStyle w:val="3"/>
              <w:adjustRightInd w:val="0"/>
              <w:snapToGrid w:val="0"/>
              <w:ind w:firstLine="360" w:firstLineChars="200"/>
              <w:jc w:val="left"/>
              <w:rPr>
                <w:rFonts w:hAnsi="宋体" w:cs="宋体"/>
                <w:color w:val="000000"/>
                <w:kern w:val="0"/>
                <w:sz w:val="18"/>
                <w:szCs w:val="18"/>
              </w:rPr>
            </w:pP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法治观念淡薄、税收遵从度不高、经济利益驱动等。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kern w:val="0"/>
                <w:sz w:val="18"/>
                <w:szCs w:val="18"/>
              </w:rPr>
            </w:pPr>
            <w:r>
              <w:rPr>
                <w:rFonts w:hint="eastAsia" w:hAnsi="宋体" w:cs="宋体"/>
                <w:kern w:val="0"/>
                <w:sz w:val="18"/>
                <w:szCs w:val="18"/>
              </w:rPr>
              <w:t>纳税人</w:t>
            </w:r>
            <w:r>
              <w:rPr>
                <w:rFonts w:hAnsi="宋体" w:cs="宋体"/>
                <w:kern w:val="0"/>
                <w:sz w:val="18"/>
                <w:szCs w:val="18"/>
              </w:rPr>
              <w:t>、扣缴义务人接受依法开展的税务检查</w:t>
            </w:r>
            <w:r>
              <w:rPr>
                <w:rFonts w:hint="eastAsia" w:hAnsi="宋体" w:cs="宋体"/>
                <w:kern w:val="0"/>
                <w:sz w:val="18"/>
                <w:szCs w:val="18"/>
              </w:rPr>
              <w:t>，如实提供资料和反映情况，配合税务机关记录、录音、录像、照相和复制与案件有关的情况和资料，在检查期间不得转移、隐匿、销毁有关资料的等。</w:t>
            </w:r>
          </w:p>
          <w:p>
            <w:pPr>
              <w:pStyle w:val="3"/>
              <w:adjustRightInd w:val="0"/>
              <w:snapToGrid w:val="0"/>
              <w:jc w:val="left"/>
              <w:rPr>
                <w:rFonts w:hAnsi="宋体" w:cs="宋体"/>
                <w:kern w:val="0"/>
                <w:sz w:val="18"/>
                <w:szCs w:val="18"/>
              </w:rPr>
            </w:pPr>
            <w:r>
              <w:rPr>
                <w:rFonts w:hint="eastAsia" w:hAnsi="宋体" w:cs="宋体"/>
                <w:kern w:val="0"/>
                <w:sz w:val="18"/>
                <w:szCs w:val="18"/>
              </w:rPr>
              <w:t>税务机关通过官方网站、办税服务场所等加强关于税收法律法规规定的税人权利和义务的宣传，提高纳税遵从。</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6.1</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违反发票管理规定</w:t>
            </w:r>
            <w:r>
              <w:rPr>
                <w:rFonts w:hAnsi="宋体" w:cs="宋体"/>
                <w:color w:val="000000"/>
                <w:kern w:val="0"/>
                <w:sz w:val="18"/>
                <w:szCs w:val="18"/>
              </w:rPr>
              <w:t>--</w:t>
            </w:r>
            <w:r>
              <w:rPr>
                <w:rFonts w:hint="eastAsia" w:hAnsi="宋体" w:cs="宋体"/>
                <w:color w:val="000000"/>
                <w:kern w:val="0"/>
                <w:sz w:val="18"/>
                <w:szCs w:val="18"/>
              </w:rPr>
              <w:t>非法印制发票的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kern w:val="0"/>
                <w:sz w:val="20"/>
              </w:rPr>
            </w:pPr>
            <w:r>
              <w:rPr>
                <w:rFonts w:hint="eastAsia" w:hAnsi="宋体"/>
                <w:kern w:val="0"/>
                <w:sz w:val="20"/>
              </w:rPr>
              <w:t>高风险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 xml:space="preserve">《中华人民共和国税收征收管理法》第二十二条  增值税专用发票由国务院税务主管部门指定的企业印制；其他发票，按照国务院税务主管部门的规定，分别由省、自治区、直辖市国家税务局、地方税务局指定企业印制。    </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未经前款规定的税务机关指定，不得印制发票。</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第七十一条 违反本法第二十二条规定，非法印制发票的，由税务机关销毁非法印制的发票，没收违法所得和作案工具，并处一万元以上五万元以下的罚款；构成犯罪的，依法追究刑事责任。</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法治观念淡薄、税收遵从度低、经济利益驱动等。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kern w:val="0"/>
                <w:sz w:val="18"/>
                <w:szCs w:val="18"/>
              </w:rPr>
            </w:pPr>
            <w:r>
              <w:rPr>
                <w:rFonts w:hint="eastAsia" w:hAnsi="宋体" w:cs="宋体"/>
                <w:kern w:val="0"/>
                <w:sz w:val="18"/>
                <w:szCs w:val="18"/>
              </w:rPr>
              <w:t>相关行政相对人遵守发票管理法规，</w:t>
            </w:r>
            <w:r>
              <w:rPr>
                <w:rFonts w:hAnsi="宋体" w:cs="宋体"/>
                <w:kern w:val="0"/>
                <w:sz w:val="18"/>
                <w:szCs w:val="18"/>
              </w:rPr>
              <w:t>不从事</w:t>
            </w:r>
            <w:r>
              <w:rPr>
                <w:rFonts w:hint="eastAsia" w:hAnsi="宋体" w:cs="宋体"/>
                <w:kern w:val="0"/>
                <w:sz w:val="18"/>
                <w:szCs w:val="18"/>
              </w:rPr>
              <w:t>非法印制发票的活动</w:t>
            </w:r>
            <w:r>
              <w:rPr>
                <w:rFonts w:hAnsi="宋体" w:cs="宋体"/>
                <w:kern w:val="0"/>
                <w:sz w:val="18"/>
                <w:szCs w:val="18"/>
              </w:rPr>
              <w:t>。</w:t>
            </w:r>
          </w:p>
          <w:p>
            <w:pPr>
              <w:pStyle w:val="3"/>
              <w:adjustRightInd w:val="0"/>
              <w:snapToGrid w:val="0"/>
              <w:jc w:val="left"/>
              <w:rPr>
                <w:rFonts w:hAnsi="宋体" w:cs="宋体"/>
                <w:kern w:val="0"/>
                <w:sz w:val="18"/>
                <w:szCs w:val="18"/>
              </w:rPr>
            </w:pPr>
            <w:r>
              <w:rPr>
                <w:rFonts w:hint="eastAsia" w:hAnsi="宋体" w:cs="宋体"/>
                <w:kern w:val="0"/>
                <w:sz w:val="18"/>
                <w:szCs w:val="18"/>
              </w:rPr>
              <w:t>税务机关加强发票</w:t>
            </w:r>
            <w:r>
              <w:rPr>
                <w:rFonts w:hAnsi="宋体" w:cs="宋体"/>
                <w:kern w:val="0"/>
                <w:sz w:val="18"/>
                <w:szCs w:val="18"/>
              </w:rPr>
              <w:t>管理法规</w:t>
            </w:r>
            <w:r>
              <w:rPr>
                <w:rFonts w:hint="eastAsia" w:hAnsi="宋体" w:cs="宋体"/>
                <w:kern w:val="0"/>
                <w:sz w:val="18"/>
                <w:szCs w:val="18"/>
              </w:rPr>
              <w:t>的宣传，让纳税人、社会公众了解虚开非法</w:t>
            </w:r>
            <w:r>
              <w:rPr>
                <w:rFonts w:hAnsi="宋体" w:cs="宋体"/>
                <w:kern w:val="0"/>
                <w:sz w:val="18"/>
                <w:szCs w:val="18"/>
              </w:rPr>
              <w:t>印制</w:t>
            </w:r>
            <w:r>
              <w:rPr>
                <w:rFonts w:hint="eastAsia" w:hAnsi="宋体" w:cs="宋体"/>
                <w:kern w:val="0"/>
                <w:sz w:val="18"/>
                <w:szCs w:val="18"/>
              </w:rPr>
              <w:t>发票的严重后果。加大查处力度，做好行政处罚案件结果和重大税收违法失信案件信息公示工作，同时畅通举报渠道，加强社会监督。税务机关在加强发票管理的同时加大对发票违法犯罪的打击。</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6.2</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违反发票管理规定-</w:t>
            </w:r>
            <w:r>
              <w:rPr>
                <w:rFonts w:hAnsi="宋体" w:cs="宋体"/>
                <w:color w:val="000000"/>
                <w:kern w:val="0"/>
                <w:sz w:val="18"/>
                <w:szCs w:val="18"/>
              </w:rPr>
              <w:t>-</w:t>
            </w:r>
            <w:r>
              <w:rPr>
                <w:rFonts w:hint="eastAsia" w:hAnsi="宋体" w:cs="宋体"/>
                <w:color w:val="000000"/>
                <w:kern w:val="0"/>
                <w:sz w:val="18"/>
                <w:szCs w:val="18"/>
              </w:rPr>
              <w:t>未按照规定开具、使用、缴销、存放、保管发票，未按照规定报备非税控电子器具使用的软件程序说明资料，未按照规定保存、报送开具发票数据的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kern w:val="0"/>
                <w:sz w:val="20"/>
              </w:rPr>
            </w:pPr>
            <w:r>
              <w:rPr>
                <w:rFonts w:hint="eastAsia" w:hAnsi="宋体"/>
                <w:kern w:val="0"/>
                <w:sz w:val="20"/>
              </w:rPr>
              <w:t>低风险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ind w:firstLine="90" w:firstLineChars="50"/>
              <w:jc w:val="left"/>
              <w:rPr>
                <w:rFonts w:hAnsi="宋体" w:cs="宋体"/>
                <w:color w:val="000000"/>
                <w:kern w:val="0"/>
                <w:sz w:val="18"/>
                <w:szCs w:val="18"/>
              </w:rPr>
            </w:pPr>
            <w:r>
              <w:rPr>
                <w:rFonts w:hint="eastAsia" w:hAnsi="宋体" w:cs="宋体"/>
                <w:color w:val="000000"/>
                <w:kern w:val="0"/>
                <w:sz w:val="18"/>
                <w:szCs w:val="18"/>
              </w:rPr>
              <w:t>《中华人民共和国发票管理办法》第三十五条　违反本办法的规定，有下列情形之一的，由税务机关责令改正，可以处1万元以下的罚款；有违法所得的予以没收：</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（一）应当开具而未开具发票，或者未按照规定的时限、顺序、栏目，全部联次一次性开具发票，或者未加盖发票专用章的；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（二）使用税控装置开具发票，未按期向主管税务机关报送开具发票的数据的；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（三）使用非税控电子器具开具发票，未将非税控电子器具使用的软件程序说明资料报主管税务机关备案，或者未按照规定保存、报送开具发票的数据的；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（四）拆本使用发票的；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（五）扩大发票使用范围的；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（六）以其他凭证代替发票使用的；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（七）跨规定区域开具发票的；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（八）未按照规定缴销发票的；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（九）未按照规定存放和保管发票的。</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法治观念不强、税法知识欠缺、税收遵从度不高、疏忽大意等等。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kern w:val="0"/>
                <w:sz w:val="18"/>
                <w:szCs w:val="18"/>
              </w:rPr>
            </w:pPr>
            <w:r>
              <w:rPr>
                <w:rFonts w:hint="eastAsia" w:hAnsi="宋体" w:cs="宋体"/>
                <w:kern w:val="0"/>
                <w:sz w:val="18"/>
                <w:szCs w:val="18"/>
              </w:rPr>
              <w:t>相关行政相对人遵守</w:t>
            </w:r>
            <w:r>
              <w:rPr>
                <w:rFonts w:hAnsi="宋体" w:cs="宋体"/>
                <w:kern w:val="0"/>
                <w:sz w:val="18"/>
                <w:szCs w:val="18"/>
              </w:rPr>
              <w:t>发票管理法规</w:t>
            </w:r>
            <w:r>
              <w:rPr>
                <w:rFonts w:hint="eastAsia" w:hAnsi="宋体" w:cs="宋体"/>
                <w:kern w:val="0"/>
                <w:sz w:val="18"/>
                <w:szCs w:val="18"/>
              </w:rPr>
              <w:t>，按照规定开具、使用、缴销、存放、保管发票，按照规定报备非税控电子器具使用的软件程序说明资料，按照规定保存、报送开具发票数据。</w:t>
            </w:r>
          </w:p>
          <w:p>
            <w:pPr>
              <w:pStyle w:val="3"/>
              <w:adjustRightInd w:val="0"/>
              <w:snapToGrid w:val="0"/>
              <w:jc w:val="left"/>
              <w:rPr>
                <w:rFonts w:hAnsi="宋体" w:cs="宋体"/>
                <w:kern w:val="0"/>
                <w:sz w:val="18"/>
                <w:szCs w:val="18"/>
              </w:rPr>
            </w:pPr>
            <w:r>
              <w:rPr>
                <w:rFonts w:hint="eastAsia" w:hAnsi="宋体" w:cs="宋体"/>
                <w:kern w:val="0"/>
                <w:sz w:val="18"/>
                <w:szCs w:val="18"/>
              </w:rPr>
              <w:t>税务机关通过</w:t>
            </w:r>
            <w:r>
              <w:rPr>
                <w:rFonts w:hAnsi="宋体" w:cs="宋体"/>
                <w:kern w:val="0"/>
                <w:sz w:val="18"/>
                <w:szCs w:val="18"/>
              </w:rPr>
              <w:t>官方网站</w:t>
            </w:r>
            <w:r>
              <w:rPr>
                <w:rFonts w:hint="eastAsia" w:hAnsi="宋体" w:cs="宋体"/>
                <w:kern w:val="0"/>
                <w:sz w:val="18"/>
                <w:szCs w:val="18"/>
              </w:rPr>
              <w:t>、</w:t>
            </w:r>
            <w:r>
              <w:rPr>
                <w:rFonts w:hAnsi="宋体" w:cs="宋体"/>
                <w:kern w:val="0"/>
                <w:sz w:val="18"/>
                <w:szCs w:val="18"/>
              </w:rPr>
              <w:t>纳税服务平台、办税场所等</w:t>
            </w:r>
            <w:r>
              <w:rPr>
                <w:rFonts w:hint="eastAsia" w:hAnsi="宋体" w:cs="宋体"/>
                <w:kern w:val="0"/>
                <w:sz w:val="18"/>
                <w:szCs w:val="18"/>
              </w:rPr>
              <w:t>加强发票管理法规的宣传。</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6.3</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违反发票管理规定-</w:t>
            </w:r>
            <w:r>
              <w:rPr>
                <w:rFonts w:hAnsi="宋体" w:cs="宋体"/>
                <w:color w:val="000000"/>
                <w:kern w:val="0"/>
                <w:sz w:val="18"/>
                <w:szCs w:val="18"/>
              </w:rPr>
              <w:t>-</w:t>
            </w:r>
            <w:r>
              <w:rPr>
                <w:rFonts w:hint="eastAsia" w:hAnsi="宋体" w:cs="宋体"/>
                <w:color w:val="000000"/>
                <w:kern w:val="0"/>
                <w:sz w:val="18"/>
                <w:szCs w:val="18"/>
              </w:rPr>
              <w:t>虚开或者非法代开发票的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kern w:val="0"/>
                <w:sz w:val="20"/>
              </w:rPr>
            </w:pPr>
            <w:r>
              <w:rPr>
                <w:rFonts w:hint="eastAsia" w:hAnsi="宋体"/>
                <w:kern w:val="0"/>
                <w:sz w:val="20"/>
              </w:rPr>
              <w:t>高风险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《中华人民共和国发票管理办法》第二十二条第二款 任何单位和个人不得有下列虚开发票行为：（一）为他人、为自己开具与实际经营业务情况不符的发票；　（二）让他人为自己开具与实际经营业务情况不符的发票；（三）介绍他人开具与实际经营业务情况不符的发票。</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第三十七条　违反本办法第二十二条第二款的规定虚开发票的，由税务机关没收违法所得；虚开金额在1万元以下的，可以并处5万元以下的罚款；虚开金额超过1万元的，并处5万元以上50万元以下的罚款；构成犯罪的，依法追究刑事责任。</w:t>
            </w:r>
          </w:p>
          <w:p>
            <w:pPr>
              <w:pStyle w:val="3"/>
              <w:adjustRightInd w:val="0"/>
              <w:snapToGrid w:val="0"/>
              <w:ind w:firstLine="360" w:firstLineChars="200"/>
              <w:jc w:val="left"/>
              <w:rPr>
                <w:rFonts w:hAnsi="宋体" w:cs="宋体"/>
                <w:color w:val="000000"/>
                <w:kern w:val="0"/>
                <w:sz w:val="18"/>
                <w:szCs w:val="18"/>
              </w:rPr>
            </w:pPr>
            <w:r>
              <w:rPr>
                <w:rFonts w:hint="eastAsia" w:hAnsi="宋体" w:cs="宋体"/>
                <w:color w:val="000000"/>
                <w:kern w:val="0"/>
                <w:sz w:val="18"/>
                <w:szCs w:val="18"/>
              </w:rPr>
              <w:t>非法代开发票的，依照前款规定处罚。</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法治观念淡薄、税收遵从度低、经济利益驱动等。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kern w:val="0"/>
                <w:sz w:val="18"/>
                <w:szCs w:val="18"/>
              </w:rPr>
            </w:pPr>
            <w:r>
              <w:rPr>
                <w:rFonts w:hint="eastAsia" w:hAnsi="宋体" w:cs="宋体"/>
                <w:kern w:val="0"/>
                <w:sz w:val="18"/>
                <w:szCs w:val="18"/>
              </w:rPr>
              <w:t>相关行政相对人遵守发票管理法规，不虚开或者非法代开发票。</w:t>
            </w:r>
          </w:p>
          <w:p>
            <w:pPr>
              <w:pStyle w:val="3"/>
              <w:adjustRightInd w:val="0"/>
              <w:snapToGrid w:val="0"/>
              <w:jc w:val="left"/>
              <w:rPr>
                <w:rFonts w:hAnsi="宋体" w:cs="宋体"/>
                <w:kern w:val="0"/>
                <w:sz w:val="18"/>
                <w:szCs w:val="18"/>
              </w:rPr>
            </w:pPr>
            <w:r>
              <w:rPr>
                <w:rFonts w:hint="eastAsia" w:hAnsi="宋体" w:cs="宋体"/>
                <w:kern w:val="0"/>
                <w:sz w:val="18"/>
                <w:szCs w:val="18"/>
              </w:rPr>
              <w:t>税务机关加强发票管理法规的宣传，让纳税人、社会公众了解虚开发票、非法代开的严重后果，</w:t>
            </w:r>
            <w:r>
              <w:rPr>
                <w:rFonts w:hAnsi="宋体" w:cs="宋体"/>
                <w:kern w:val="0"/>
                <w:sz w:val="18"/>
                <w:szCs w:val="18"/>
              </w:rPr>
              <w:t>落实有关风险提示的要求</w:t>
            </w:r>
            <w:r>
              <w:rPr>
                <w:rFonts w:hint="eastAsia" w:hAnsi="宋体" w:cs="宋体"/>
                <w:kern w:val="0"/>
                <w:sz w:val="18"/>
                <w:szCs w:val="18"/>
              </w:rPr>
              <w:t>。加大查处力度，做好行政处罚案件结果和重大税收违法失信案件信息公示工作，同时畅通举报渠道，加强社会监督。</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6.4</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违反发票管理规定-</w:t>
            </w:r>
            <w:r>
              <w:rPr>
                <w:rFonts w:hAnsi="宋体" w:cs="宋体"/>
                <w:color w:val="000000"/>
                <w:kern w:val="0"/>
                <w:sz w:val="18"/>
                <w:szCs w:val="18"/>
              </w:rPr>
              <w:t>-</w:t>
            </w:r>
            <w:r>
              <w:rPr>
                <w:rFonts w:hint="eastAsia" w:hAnsi="宋体" w:cs="宋体"/>
                <w:color w:val="000000"/>
                <w:kern w:val="0"/>
                <w:sz w:val="18"/>
                <w:szCs w:val="18"/>
              </w:rPr>
              <w:t>对私自印制、伪造、变造发票，非法制造发票防伪专用品，伪造发票监制章的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kern w:val="0"/>
                <w:sz w:val="20"/>
              </w:rPr>
            </w:pPr>
            <w:r>
              <w:rPr>
                <w:rFonts w:hint="eastAsia" w:hAnsi="宋体"/>
                <w:kern w:val="0"/>
                <w:sz w:val="20"/>
              </w:rPr>
              <w:t>高风险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《中华人民共和国发票管理办法》第三十八条 私自印制、伪造、变造发票，非法制造发票防伪专用品，伪造发票监制章的，由税务机关没收违法所得，没收、销毁作案工具和非法物品，并处1万元以上5万元以下的罚款；情节严重的，并处5万元以上50万元以下的罚款；对印制发票的企业,可以并处吊销发票准印证；构成犯罪的，依法追究刑事责任。</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　前款规定的处罚，《中华人民共和国税收征收管理法》有规定的，依照其规定执行</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法治观念淡薄、税收遵从度低、经济利益驱动等。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kern w:val="0"/>
                <w:sz w:val="18"/>
                <w:szCs w:val="18"/>
              </w:rPr>
            </w:pPr>
            <w:r>
              <w:rPr>
                <w:rFonts w:hint="eastAsia" w:hAnsi="宋体" w:cs="宋体"/>
                <w:kern w:val="0"/>
                <w:sz w:val="18"/>
                <w:szCs w:val="18"/>
              </w:rPr>
              <w:t>相关行政相对人遵守发票管理法规，不</w:t>
            </w:r>
            <w:r>
              <w:rPr>
                <w:rFonts w:hAnsi="宋体" w:cs="宋体"/>
                <w:kern w:val="0"/>
                <w:sz w:val="18"/>
                <w:szCs w:val="18"/>
              </w:rPr>
              <w:t>从事</w:t>
            </w:r>
            <w:r>
              <w:rPr>
                <w:rFonts w:hint="eastAsia" w:hAnsi="宋体" w:cs="宋体"/>
                <w:kern w:val="0"/>
                <w:sz w:val="18"/>
                <w:szCs w:val="18"/>
              </w:rPr>
              <w:t>私自印制、伪造、变造发票等</w:t>
            </w:r>
            <w:r>
              <w:rPr>
                <w:rFonts w:hAnsi="宋体" w:cs="宋体"/>
                <w:kern w:val="0"/>
                <w:sz w:val="18"/>
                <w:szCs w:val="18"/>
              </w:rPr>
              <w:t>违法犯罪活动。</w:t>
            </w:r>
          </w:p>
          <w:p>
            <w:pPr>
              <w:pStyle w:val="3"/>
              <w:adjustRightInd w:val="0"/>
              <w:snapToGrid w:val="0"/>
              <w:jc w:val="left"/>
              <w:rPr>
                <w:rFonts w:hAnsi="宋体" w:cs="宋体"/>
                <w:kern w:val="0"/>
                <w:sz w:val="18"/>
                <w:szCs w:val="18"/>
              </w:rPr>
            </w:pPr>
            <w:r>
              <w:rPr>
                <w:rFonts w:hint="eastAsia" w:hAnsi="宋体" w:cs="宋体"/>
                <w:kern w:val="0"/>
                <w:sz w:val="18"/>
                <w:szCs w:val="18"/>
              </w:rPr>
              <w:t>税务机关加强发票管理法规的宣传，加强发票管理，加大对发票违法的打击；涉嫌</w:t>
            </w:r>
            <w:r>
              <w:rPr>
                <w:rFonts w:hAnsi="宋体" w:cs="宋体"/>
                <w:kern w:val="0"/>
                <w:sz w:val="18"/>
                <w:szCs w:val="18"/>
              </w:rPr>
              <w:t>犯罪的的</w:t>
            </w:r>
            <w:r>
              <w:rPr>
                <w:rFonts w:hint="eastAsia" w:hAnsi="宋体" w:cs="宋体"/>
                <w:kern w:val="0"/>
                <w:sz w:val="18"/>
                <w:szCs w:val="18"/>
              </w:rPr>
              <w:t>，</w:t>
            </w:r>
            <w:r>
              <w:rPr>
                <w:rFonts w:hAnsi="宋体" w:cs="宋体"/>
                <w:kern w:val="0"/>
                <w:sz w:val="18"/>
                <w:szCs w:val="18"/>
              </w:rPr>
              <w:t>及时移交司法机关</w:t>
            </w:r>
            <w:r>
              <w:rPr>
                <w:rFonts w:hint="eastAsia" w:hAnsi="宋体" w:cs="宋体"/>
                <w:kern w:val="0"/>
                <w:sz w:val="18"/>
                <w:szCs w:val="18"/>
              </w:rPr>
              <w:t>。</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6.5</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违反发票管理规定-</w:t>
            </w:r>
            <w:r>
              <w:rPr>
                <w:rFonts w:hAnsi="宋体" w:cs="宋体"/>
                <w:color w:val="000000"/>
                <w:kern w:val="0"/>
                <w:sz w:val="18"/>
                <w:szCs w:val="18"/>
              </w:rPr>
              <w:t>-</w:t>
            </w:r>
            <w:r>
              <w:rPr>
                <w:rFonts w:hint="eastAsia" w:hAnsi="宋体" w:cs="宋体"/>
                <w:color w:val="000000"/>
                <w:kern w:val="0"/>
                <w:sz w:val="18"/>
                <w:szCs w:val="18"/>
              </w:rPr>
              <w:t>转借、转让、介绍他人转让发票、发票监制章和发票防伪专用品，或者受让、开具、存放、携带、邮寄、运输知道或者应当知道是私自印制、伪造、变造、非法取得或者废止的发票的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kern w:val="0"/>
                <w:sz w:val="20"/>
              </w:rPr>
            </w:pPr>
            <w:r>
              <w:rPr>
                <w:rFonts w:hint="eastAsia" w:hAnsi="宋体"/>
                <w:kern w:val="0"/>
                <w:sz w:val="20"/>
              </w:rPr>
              <w:t>高风险</w:t>
            </w: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《中华人民共和国发票管理办法》第三十九条　有下列情形之一的，由税务机关处1万元以上5万元以下的罚款；情节严重的，处5万元以上50万元以下的罚款；有违法所得的予以没收：</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（一）转借、转让、介绍他人转让发票、发票监制章和发票防伪专用品的；</w:t>
            </w: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（二）知道或者应当知道是私自印制、伪造、变造、非法取得或者废止的发票而受让、开具、存放、携带、邮寄、运输的。</w:t>
            </w: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法治观念淡薄、税收遵从度低、经济利益驱动等。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kern w:val="0"/>
                <w:sz w:val="18"/>
                <w:szCs w:val="18"/>
              </w:rPr>
            </w:pPr>
            <w:r>
              <w:rPr>
                <w:rFonts w:hint="eastAsia" w:hAnsi="宋体" w:cs="宋体"/>
                <w:kern w:val="0"/>
                <w:sz w:val="18"/>
                <w:szCs w:val="18"/>
              </w:rPr>
              <w:t>相关行政相对人遵守发票管理法规，不从事发票违法犯罪活动。</w:t>
            </w:r>
          </w:p>
          <w:p>
            <w:pPr>
              <w:pStyle w:val="3"/>
              <w:adjustRightInd w:val="0"/>
              <w:snapToGrid w:val="0"/>
              <w:jc w:val="left"/>
              <w:rPr>
                <w:rFonts w:hAnsi="宋体" w:cs="宋体"/>
                <w:kern w:val="0"/>
                <w:sz w:val="18"/>
                <w:szCs w:val="18"/>
              </w:rPr>
            </w:pPr>
            <w:r>
              <w:rPr>
                <w:rFonts w:hint="eastAsia" w:hAnsi="宋体" w:cs="宋体"/>
                <w:kern w:val="0"/>
                <w:sz w:val="18"/>
                <w:szCs w:val="18"/>
              </w:rPr>
              <w:t>税务机关加强发票管理法规的宣传，在加强发票管理的同时加大</w:t>
            </w:r>
            <w:r>
              <w:rPr>
                <w:rFonts w:hAnsi="宋体" w:cs="宋体"/>
                <w:kern w:val="0"/>
                <w:sz w:val="18"/>
                <w:szCs w:val="18"/>
              </w:rPr>
              <w:t>对</w:t>
            </w:r>
            <w:r>
              <w:rPr>
                <w:rFonts w:hint="eastAsia" w:hAnsi="宋体" w:cs="宋体"/>
                <w:kern w:val="0"/>
                <w:sz w:val="18"/>
                <w:szCs w:val="18"/>
              </w:rPr>
              <w:t>发票</w:t>
            </w:r>
            <w:r>
              <w:rPr>
                <w:rFonts w:hAnsi="宋体" w:cs="宋体"/>
                <w:kern w:val="0"/>
                <w:sz w:val="18"/>
                <w:szCs w:val="18"/>
              </w:rPr>
              <w:t>违法的打击</w:t>
            </w:r>
            <w:r>
              <w:rPr>
                <w:rFonts w:hint="eastAsia" w:hAnsi="宋体" w:cs="宋体"/>
                <w:kern w:val="0"/>
                <w:sz w:val="18"/>
                <w:szCs w:val="18"/>
              </w:rPr>
              <w:t>。</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r>
              <w:rPr>
                <w:rFonts w:hint="eastAsia" w:hAnsi="宋体" w:cs="宋体"/>
                <w:color w:val="000000"/>
                <w:kern w:val="0"/>
                <w:sz w:val="18"/>
                <w:szCs w:val="18"/>
              </w:rPr>
              <w:t>6.6</w:t>
            </w: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r>
              <w:rPr>
                <w:rFonts w:hint="eastAsia" w:hAnsi="宋体" w:cs="宋体"/>
                <w:color w:val="000000"/>
                <w:kern w:val="0"/>
                <w:sz w:val="18"/>
                <w:szCs w:val="18"/>
              </w:rPr>
              <w:t>违反发票管理规定-</w:t>
            </w:r>
            <w:r>
              <w:rPr>
                <w:rFonts w:hAnsi="宋体" w:cs="宋体"/>
                <w:color w:val="000000"/>
                <w:kern w:val="0"/>
                <w:sz w:val="18"/>
                <w:szCs w:val="18"/>
              </w:rPr>
              <w:t>-</w:t>
            </w:r>
            <w:r>
              <w:rPr>
                <w:rFonts w:hint="eastAsia" w:hAnsi="宋体" w:cs="宋体"/>
                <w:color w:val="000000"/>
                <w:kern w:val="0"/>
                <w:sz w:val="18"/>
                <w:szCs w:val="18"/>
              </w:rPr>
              <w:t>违反发票管理法规，导致其他单位或者个人未缴、少缴或者骗取税款的</w:t>
            </w: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kern w:val="0"/>
                <w:sz w:val="20"/>
              </w:rPr>
            </w:pPr>
            <w:r>
              <w:rPr>
                <w:rFonts w:hint="eastAsia" w:hAnsi="宋体"/>
                <w:kern w:val="0"/>
                <w:sz w:val="20"/>
              </w:rPr>
              <w:t>中风险</w:t>
            </w:r>
          </w:p>
        </w:tc>
        <w:tc>
          <w:tcPr>
            <w:tcW w:w="414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《中华人民共和国发票管理办法》第四十一条　违反发票管理法规，导致其他单位或者个人未缴、少缴或者骗取税款的，由税务机关没收违法所得，可以并处未缴、少缴或者骗取的税款1倍以下的罚款。</w:t>
            </w:r>
          </w:p>
          <w:p>
            <w:pPr>
              <w:pStyle w:val="3"/>
              <w:adjustRightInd w:val="0"/>
              <w:snapToGrid w:val="0"/>
              <w:ind w:firstLine="360" w:firstLineChars="200"/>
              <w:jc w:val="left"/>
              <w:rPr>
                <w:rFonts w:hAnsi="宋体" w:cs="宋体"/>
                <w:color w:val="000000"/>
                <w:kern w:val="0"/>
                <w:sz w:val="18"/>
                <w:szCs w:val="18"/>
              </w:rPr>
            </w:pP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法治观念不强、税收遵从度不高、合规经营意识欠缺等。</w:t>
            </w: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kern w:val="0"/>
                <w:sz w:val="18"/>
                <w:szCs w:val="18"/>
              </w:rPr>
            </w:pPr>
            <w:r>
              <w:rPr>
                <w:rFonts w:hint="eastAsia" w:hAnsi="宋体" w:cs="宋体"/>
                <w:kern w:val="0"/>
                <w:sz w:val="18"/>
                <w:szCs w:val="18"/>
              </w:rPr>
              <w:t>相关行政相对人遵守发票管理法规，不从事发票违法犯罪活动。</w:t>
            </w:r>
          </w:p>
          <w:p>
            <w:pPr>
              <w:pStyle w:val="3"/>
              <w:adjustRightInd w:val="0"/>
              <w:snapToGrid w:val="0"/>
              <w:jc w:val="left"/>
              <w:rPr>
                <w:rFonts w:hAnsi="宋体" w:cs="宋体"/>
                <w:kern w:val="0"/>
                <w:sz w:val="18"/>
                <w:szCs w:val="18"/>
              </w:rPr>
            </w:pPr>
            <w:r>
              <w:rPr>
                <w:rFonts w:hint="eastAsia" w:hAnsi="宋体" w:cs="宋体"/>
                <w:kern w:val="0"/>
                <w:sz w:val="18"/>
                <w:szCs w:val="18"/>
              </w:rPr>
              <w:t>税务机关</w:t>
            </w:r>
            <w:r>
              <w:rPr>
                <w:rFonts w:hAnsi="宋体" w:cs="宋体"/>
                <w:kern w:val="0"/>
                <w:sz w:val="18"/>
                <w:szCs w:val="18"/>
              </w:rPr>
              <w:t>加强</w:t>
            </w:r>
            <w:r>
              <w:rPr>
                <w:rFonts w:hint="eastAsia" w:hAnsi="宋体" w:cs="宋体"/>
                <w:kern w:val="0"/>
                <w:sz w:val="18"/>
                <w:szCs w:val="18"/>
              </w:rPr>
              <w:t>发票</w:t>
            </w:r>
            <w:r>
              <w:rPr>
                <w:rFonts w:hAnsi="宋体" w:cs="宋体"/>
                <w:kern w:val="0"/>
                <w:sz w:val="18"/>
                <w:szCs w:val="18"/>
              </w:rPr>
              <w:t>管理法规</w:t>
            </w:r>
            <w:r>
              <w:rPr>
                <w:rFonts w:hint="eastAsia" w:hAnsi="宋体" w:cs="宋体"/>
                <w:kern w:val="0"/>
                <w:sz w:val="18"/>
                <w:szCs w:val="18"/>
              </w:rPr>
              <w:t>的</w:t>
            </w:r>
            <w:r>
              <w:rPr>
                <w:rFonts w:hAnsi="宋体" w:cs="宋体"/>
                <w:kern w:val="0"/>
                <w:sz w:val="18"/>
                <w:szCs w:val="18"/>
              </w:rPr>
              <w:t>宣传，</w:t>
            </w:r>
            <w:r>
              <w:rPr>
                <w:rFonts w:hint="eastAsia" w:hAnsi="宋体" w:cs="宋体"/>
                <w:kern w:val="0"/>
                <w:sz w:val="18"/>
                <w:szCs w:val="18"/>
              </w:rPr>
              <w:t>强化</w:t>
            </w:r>
            <w:r>
              <w:rPr>
                <w:rFonts w:hAnsi="宋体" w:cs="宋体"/>
                <w:kern w:val="0"/>
                <w:sz w:val="18"/>
                <w:szCs w:val="18"/>
              </w:rPr>
              <w:t>发票管理</w:t>
            </w:r>
            <w:r>
              <w:rPr>
                <w:rFonts w:hint="eastAsia" w:hAnsi="宋体" w:cs="宋体"/>
                <w:kern w:val="0"/>
                <w:sz w:val="18"/>
                <w:szCs w:val="18"/>
              </w:rPr>
              <w:t>和发票违法的打击。</w:t>
            </w: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p>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县区级税务机关</w:t>
            </w: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r>
              <w:rPr>
                <w:rFonts w:hint="eastAsia" w:hAnsi="宋体" w:cs="宋体"/>
                <w:color w:val="000000"/>
                <w:kern w:val="0"/>
                <w:sz w:val="18"/>
                <w:szCs w:val="18"/>
              </w:rPr>
              <w:t>国家税务总局</w:t>
            </w:r>
            <w:r>
              <w:rPr>
                <w:rFonts w:hint="eastAsia" w:hAnsi="宋体" w:cs="宋体"/>
                <w:color w:val="000000"/>
                <w:kern w:val="0"/>
                <w:sz w:val="18"/>
                <w:szCs w:val="18"/>
                <w:lang w:eastAsia="zh-CN"/>
              </w:rPr>
              <w:t>漯河</w:t>
            </w:r>
            <w:r>
              <w:rPr>
                <w:rFonts w:hint="eastAsia" w:hAnsi="宋体" w:cs="宋体"/>
                <w:color w:val="000000"/>
                <w:kern w:val="0"/>
                <w:sz w:val="18"/>
                <w:szCs w:val="18"/>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816"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cs="宋体"/>
                <w:color w:val="000000"/>
                <w:kern w:val="0"/>
                <w:sz w:val="18"/>
                <w:szCs w:val="18"/>
              </w:rPr>
            </w:pPr>
          </w:p>
        </w:tc>
        <w:tc>
          <w:tcPr>
            <w:tcW w:w="286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hAnsi="宋体" w:cs="宋体"/>
                <w:color w:val="000000"/>
                <w:kern w:val="0"/>
                <w:sz w:val="18"/>
                <w:szCs w:val="18"/>
              </w:rPr>
            </w:pPr>
          </w:p>
        </w:tc>
        <w:tc>
          <w:tcPr>
            <w:tcW w:w="817"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hAnsi="宋体"/>
                <w:kern w:val="0"/>
                <w:sz w:val="20"/>
              </w:rPr>
            </w:pPr>
          </w:p>
        </w:tc>
        <w:tc>
          <w:tcPr>
            <w:tcW w:w="4142"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ind w:firstLine="360" w:firstLineChars="200"/>
              <w:jc w:val="left"/>
              <w:rPr>
                <w:rFonts w:hAnsi="宋体" w:cs="宋体"/>
                <w:color w:val="000000"/>
                <w:kern w:val="0"/>
                <w:sz w:val="18"/>
                <w:szCs w:val="18"/>
              </w:rPr>
            </w:pPr>
          </w:p>
        </w:tc>
        <w:tc>
          <w:tcPr>
            <w:tcW w:w="2624"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kern w:val="0"/>
                <w:sz w:val="18"/>
                <w:szCs w:val="18"/>
              </w:rPr>
            </w:pPr>
          </w:p>
        </w:tc>
        <w:tc>
          <w:tcPr>
            <w:tcW w:w="778" w:type="dxa"/>
            <w:tcBorders>
              <w:top w:val="single" w:color="auto" w:sz="4" w:space="0"/>
              <w:left w:val="single" w:color="auto" w:sz="4" w:space="0"/>
              <w:bottom w:val="single" w:color="auto" w:sz="4" w:space="0"/>
              <w:right w:val="single" w:color="auto" w:sz="4" w:space="0"/>
            </w:tcBorders>
          </w:tcPr>
          <w:p>
            <w:pPr>
              <w:pStyle w:val="3"/>
              <w:adjustRightInd w:val="0"/>
              <w:snapToGrid w:val="0"/>
              <w:jc w:val="left"/>
              <w:rPr>
                <w:rFonts w:hAnsi="宋体" w:cs="宋体"/>
                <w:color w:val="000000"/>
                <w:kern w:val="0"/>
                <w:sz w:val="18"/>
                <w:szCs w:val="18"/>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hAnsi="宋体" w:cs="宋体"/>
                <w:color w:val="000000"/>
                <w:kern w:val="0"/>
                <w:sz w:val="18"/>
                <w:szCs w:val="18"/>
              </w:rPr>
            </w:pPr>
          </w:p>
        </w:tc>
      </w:tr>
    </w:tbl>
    <w:p>
      <w:pPr>
        <w:pStyle w:val="3"/>
        <w:adjustRightInd w:val="0"/>
        <w:snapToGrid w:val="0"/>
        <w:jc w:val="right"/>
        <w:rPr>
          <w:rFonts w:hAnsi="宋体" w:cs="宋体"/>
          <w:b/>
          <w:color w:val="000000"/>
        </w:rPr>
      </w:pPr>
    </w:p>
    <w:p>
      <w:pPr>
        <w:widowControl/>
        <w:jc w:val="left"/>
        <w:rPr>
          <w:rFonts w:hAnsi="Calibri" w:cs="Times New Roman"/>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1194394"/>
      <w:docPartObj>
        <w:docPartGallery w:val="autotext"/>
      </w:docPartObj>
    </w:sdtPr>
    <w:sdtContent>
      <w:p>
        <w:pPr>
          <w:pStyle w:val="5"/>
          <w:jc w:val="center"/>
        </w:pPr>
        <w:r>
          <w:fldChar w:fldCharType="begin"/>
        </w:r>
        <w:r>
          <w:instrText xml:space="preserve">PAGE   \* MERGEFORMAT</w:instrText>
        </w:r>
        <w:r>
          <w:fldChar w:fldCharType="separate"/>
        </w:r>
        <w:r>
          <w:rPr>
            <w:lang w:val="zh-CN"/>
          </w:rPr>
          <w:t>9</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DA"/>
    <w:rsid w:val="000165FE"/>
    <w:rsid w:val="00037A25"/>
    <w:rsid w:val="00066463"/>
    <w:rsid w:val="000F21B6"/>
    <w:rsid w:val="001017E9"/>
    <w:rsid w:val="00106910"/>
    <w:rsid w:val="0012175F"/>
    <w:rsid w:val="00146501"/>
    <w:rsid w:val="00177B9E"/>
    <w:rsid w:val="001B380E"/>
    <w:rsid w:val="001C2A70"/>
    <w:rsid w:val="001E1E1B"/>
    <w:rsid w:val="00210A86"/>
    <w:rsid w:val="0026462A"/>
    <w:rsid w:val="002748A5"/>
    <w:rsid w:val="0034408C"/>
    <w:rsid w:val="00363A64"/>
    <w:rsid w:val="00421827"/>
    <w:rsid w:val="00463777"/>
    <w:rsid w:val="004948B5"/>
    <w:rsid w:val="004C3E02"/>
    <w:rsid w:val="005311C1"/>
    <w:rsid w:val="00576D87"/>
    <w:rsid w:val="005A7400"/>
    <w:rsid w:val="005E6A82"/>
    <w:rsid w:val="006112C2"/>
    <w:rsid w:val="00724764"/>
    <w:rsid w:val="00812D44"/>
    <w:rsid w:val="00817233"/>
    <w:rsid w:val="00894AFB"/>
    <w:rsid w:val="008A2F89"/>
    <w:rsid w:val="008B4CA8"/>
    <w:rsid w:val="008B76DA"/>
    <w:rsid w:val="008E4413"/>
    <w:rsid w:val="008F4552"/>
    <w:rsid w:val="00922D6B"/>
    <w:rsid w:val="00932DF1"/>
    <w:rsid w:val="00947E76"/>
    <w:rsid w:val="009B2D5D"/>
    <w:rsid w:val="00A24192"/>
    <w:rsid w:val="00A741A8"/>
    <w:rsid w:val="00AB07F8"/>
    <w:rsid w:val="00AC3037"/>
    <w:rsid w:val="00B0307F"/>
    <w:rsid w:val="00B51CAC"/>
    <w:rsid w:val="00B65F9F"/>
    <w:rsid w:val="00B95E78"/>
    <w:rsid w:val="00BB658B"/>
    <w:rsid w:val="00C55181"/>
    <w:rsid w:val="00C80708"/>
    <w:rsid w:val="00C90CAF"/>
    <w:rsid w:val="00CB114B"/>
    <w:rsid w:val="00CB64E5"/>
    <w:rsid w:val="00D05ABD"/>
    <w:rsid w:val="00D866E6"/>
    <w:rsid w:val="00DE2CE2"/>
    <w:rsid w:val="00E05F77"/>
    <w:rsid w:val="00E363E2"/>
    <w:rsid w:val="00E4036A"/>
    <w:rsid w:val="00E92B51"/>
    <w:rsid w:val="00F14CC2"/>
    <w:rsid w:val="00F3437E"/>
    <w:rsid w:val="00FC00E7"/>
    <w:rsid w:val="0CEE208D"/>
    <w:rsid w:val="4F1D229C"/>
    <w:rsid w:val="56234A2C"/>
    <w:rsid w:val="78CA0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pPr>
      <w:jc w:val="left"/>
    </w:pPr>
  </w:style>
  <w:style w:type="paragraph" w:styleId="3">
    <w:name w:val="Plain Text"/>
    <w:basedOn w:val="1"/>
    <w:link w:val="13"/>
    <w:qFormat/>
    <w:uiPriority w:val="0"/>
    <w:rPr>
      <w:rFonts w:ascii="宋体" w:hAnsi="Courier New" w:eastAsia="宋体" w:cs="Courier New"/>
      <w:szCs w:val="21"/>
    </w:rPr>
  </w:style>
  <w:style w:type="paragraph" w:styleId="4">
    <w:name w:val="Balloon Text"/>
    <w:basedOn w:val="1"/>
    <w:link w:val="15"/>
    <w:semiHidden/>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9"/>
    <w:semiHidden/>
    <w:unhideWhenUsed/>
    <w:uiPriority w:val="99"/>
    <w:rPr>
      <w:b/>
      <w:bCs/>
    </w:rPr>
  </w:style>
  <w:style w:type="table" w:styleId="9">
    <w:name w:val="Table Grid"/>
    <w:basedOn w:val="8"/>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uiPriority w:val="99"/>
    <w:rPr>
      <w:sz w:val="21"/>
      <w:szCs w:val="21"/>
    </w:rPr>
  </w:style>
  <w:style w:type="character" w:customStyle="1" w:styleId="12">
    <w:name w:val="纯文本 Char"/>
    <w:basedOn w:val="10"/>
    <w:semiHidden/>
    <w:qFormat/>
    <w:uiPriority w:val="99"/>
    <w:rPr>
      <w:rFonts w:ascii="宋体" w:hAnsi="Courier New" w:eastAsia="宋体" w:cs="Courier New"/>
      <w:szCs w:val="21"/>
    </w:rPr>
  </w:style>
  <w:style w:type="character" w:customStyle="1" w:styleId="13">
    <w:name w:val="纯文本 Char1"/>
    <w:basedOn w:val="10"/>
    <w:link w:val="3"/>
    <w:uiPriority w:val="0"/>
    <w:rPr>
      <w:rFonts w:ascii="宋体" w:hAnsi="Courier New" w:eastAsia="宋体" w:cs="Courier New"/>
      <w:szCs w:val="21"/>
    </w:rPr>
  </w:style>
  <w:style w:type="paragraph" w:styleId="14">
    <w:name w:val="List Paragraph"/>
    <w:basedOn w:val="1"/>
    <w:qFormat/>
    <w:uiPriority w:val="34"/>
    <w:pPr>
      <w:ind w:firstLine="420" w:firstLineChars="200"/>
    </w:pPr>
  </w:style>
  <w:style w:type="character" w:customStyle="1" w:styleId="15">
    <w:name w:val="批注框文本 Char"/>
    <w:basedOn w:val="10"/>
    <w:link w:val="4"/>
    <w:semiHidden/>
    <w:uiPriority w:val="99"/>
    <w:rPr>
      <w:sz w:val="18"/>
      <w:szCs w:val="18"/>
    </w:rPr>
  </w:style>
  <w:style w:type="character" w:customStyle="1" w:styleId="16">
    <w:name w:val="页眉 Char"/>
    <w:basedOn w:val="10"/>
    <w:link w:val="6"/>
    <w:uiPriority w:val="99"/>
    <w:rPr>
      <w:sz w:val="18"/>
      <w:szCs w:val="18"/>
    </w:rPr>
  </w:style>
  <w:style w:type="character" w:customStyle="1" w:styleId="17">
    <w:name w:val="页脚 Char"/>
    <w:basedOn w:val="10"/>
    <w:link w:val="5"/>
    <w:uiPriority w:val="99"/>
    <w:rPr>
      <w:sz w:val="18"/>
      <w:szCs w:val="18"/>
    </w:rPr>
  </w:style>
  <w:style w:type="character" w:customStyle="1" w:styleId="18">
    <w:name w:val="批注文字 Char"/>
    <w:basedOn w:val="10"/>
    <w:link w:val="2"/>
    <w:semiHidden/>
    <w:uiPriority w:val="99"/>
  </w:style>
  <w:style w:type="character" w:customStyle="1" w:styleId="19">
    <w:name w:val="批注主题 Char"/>
    <w:basedOn w:val="18"/>
    <w:link w:val="7"/>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1284</Words>
  <Characters>7320</Characters>
  <Lines>61</Lines>
  <Paragraphs>17</Paragraphs>
  <TotalTime>0</TotalTime>
  <ScaleCrop>false</ScaleCrop>
  <LinksUpToDate>false</LinksUpToDate>
  <CharactersWithSpaces>8587</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2020-08-05T00:56:00Z</dcterms:created>
  <dc:creator>董红轩</dc:creator>
  <cp:lastModifiedBy>宋杨</cp:lastModifiedBy>
  <cp:lastPrinted>2020-08-11T01:15:00Z</cp:lastPrinted>
  <dcterms:modified xsi:type="dcterms:W3CDTF">2021-09-22T01:08:12Z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