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sz w:val="44"/>
          <w:szCs w:val="44"/>
          <w:lang w:eastAsia="zh-CN"/>
        </w:rPr>
      </w:pPr>
      <w:bookmarkStart w:id="0" w:name="_Toc5951"/>
      <w:bookmarkStart w:id="1" w:name="_Toc5550"/>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企业吸纳就业税费优惠政策指引</w:t>
      </w:r>
    </w:p>
    <w:sdt>
      <w:sdtPr>
        <w:rPr>
          <w:rFonts w:ascii="宋体" w:hAnsi="宋体" w:eastAsia="宋体" w:cstheme="minorBidi"/>
          <w:kern w:val="2"/>
          <w:sz w:val="21"/>
          <w:szCs w:val="24"/>
          <w:lang w:val="en-US" w:eastAsia="zh-CN" w:bidi="ar-SA"/>
        </w:rPr>
        <w:id w:val="147453712"/>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lang w:val="en-US" w:eastAsia="zh-CN"/>
            </w:rPr>
          </w:pPr>
        </w:p>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"1-2"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_Toc10062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lang w:val="en-US" w:eastAsia="zh-CN"/>
            </w:rPr>
            <w:t>第一部分 增值税</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_Toc10062 \h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_Toc8253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1.企业安置随军家属免征增值税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_Toc8253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_Toc15036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2.企业安置军转干部免征增值税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_Toc15036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_Toc18956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3.企业招用退役士兵增值税扣减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_Toc18956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_Toc29605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4.企业招用重点群体就业增值税扣减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_Toc29605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_Toc21610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5.安置残疾人就业的单位和个体工商户增值税即征即退</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_Toc21610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_Toc11489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lang w:val="en-US" w:eastAsia="zh-CN"/>
            </w:rPr>
            <w:t>第二部分 企业所得税</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_Toc11489 \h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12</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_Toc14554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6.企业招用退役士兵就业企业所得税扣减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_Toc14554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_Toc963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7.企业招用重点群体就业企业所得税扣减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_Toc963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8.安置残疾人就业的企业残疾人工资加计扣除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_Toc27160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lang w:val="en-US" w:eastAsia="zh-CN"/>
            </w:rPr>
            <w:t>第三部分 财产和行为税</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_Toc27160 \h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20</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_Toc16090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9.企业招用退役士兵就业城市维护建设税扣减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_Toc16090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_Toc14618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10.企业招用重点群体就业城市维护建设税扣减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_Toc14618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_Toc4851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11.安置残疾人就业的企业减免城镇土地使用税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_Toc4851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_Toc21765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lang w:val="en-US" w:eastAsia="zh-CN"/>
            </w:rPr>
            <w:t>第四部分 非税收入</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PAGEREF _Toc21765 \h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28</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_Toc25512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12.企业招用退役士兵就业减免教育费附加、地方教育附加</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_Toc25512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_Toc11815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13.企业招用重点群体就业减免教育费附加、地方教育附加</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_Toc11815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_Toc19622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14.符合条件的企业扩大残疾人就业保障金免征范围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_Toc19622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_Toc5029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15.符合条件的企业减免残疾人就业保障金</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_Toc5029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sz w:val="24"/>
              <w:szCs w:val="24"/>
            </w:rPr>
            <w:fldChar w:fldCharType="end"/>
          </w:r>
        </w:p>
      </w:sdtContent>
    </w:sdt>
    <w:p>
      <w:pPr>
        <w:rPr>
          <w:rFonts w:hint="eastAsia"/>
          <w:sz w:val="44"/>
          <w:szCs w:val="44"/>
          <w:lang w:val="en-US" w:eastAsia="zh-CN"/>
        </w:rPr>
      </w:pPr>
      <w:r>
        <w:rPr>
          <w:rFonts w:hint="eastAsia"/>
          <w:sz w:val="44"/>
          <w:szCs w:val="44"/>
          <w:lang w:val="en-US" w:eastAsia="zh-CN"/>
        </w:rPr>
        <w:br w:type="page"/>
      </w:r>
    </w:p>
    <w:p>
      <w:pPr>
        <w:pStyle w:val="15"/>
        <w:keepNext w:val="0"/>
        <w:keepLines w:val="0"/>
        <w:pageBreakBefore w:val="0"/>
        <w:widowControl w:val="0"/>
        <w:kinsoku/>
        <w:wordWrap/>
        <w:overflowPunct/>
        <w:topLinePunct w:val="0"/>
        <w:autoSpaceDE/>
        <w:autoSpaceDN/>
        <w:bidi w:val="0"/>
        <w:adjustRightInd/>
        <w:snapToGrid/>
        <w:spacing w:before="340" w:beforeAutospacing="0" w:after="330" w:afterAutospacing="0" w:line="579" w:lineRule="auto"/>
        <w:textAlignment w:val="auto"/>
        <w:outlineLvl w:val="0"/>
        <w:rPr>
          <w:rFonts w:hint="eastAsia" w:ascii="宋体" w:hAnsi="宋体" w:eastAsia="宋体" w:cs="宋体"/>
          <w:b w:val="0"/>
          <w:bCs w:val="0"/>
          <w:color w:val="C00000"/>
          <w:sz w:val="18"/>
          <w:szCs w:val="18"/>
          <w:lang w:val="en-US" w:eastAsia="zh-CN"/>
        </w:rPr>
      </w:pPr>
      <w:bookmarkStart w:id="2" w:name="_Toc10062"/>
      <w:r>
        <w:rPr>
          <w:rFonts w:hint="eastAsia"/>
          <w:sz w:val="44"/>
          <w:szCs w:val="44"/>
          <w:lang w:val="en-US" w:eastAsia="zh-CN"/>
        </w:rPr>
        <w:t>第一部分 增值税</w:t>
      </w:r>
      <w:bookmarkEnd w:id="0"/>
      <w:bookmarkEnd w:id="2"/>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3" w:name="_Toc8253"/>
      <w:r>
        <w:rPr>
          <w:rFonts w:hint="eastAsia" w:ascii="宋体" w:hAnsi="宋体" w:eastAsia="宋体" w:cs="宋体"/>
          <w:sz w:val="32"/>
          <w:szCs w:val="32"/>
          <w:lang w:val="en-US" w:eastAsia="zh-CN"/>
        </w:rPr>
        <w:t>1.企业安置随军家属免征增值税</w:t>
      </w:r>
      <w:bookmarkEnd w:id="1"/>
      <w:bookmarkEnd w:id="3"/>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为安置随军家属就业而新开办的企业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为安置随军家属就业而新开办的企业，自领取税务登记证之日起，其提供的应税服务3年内免征增值税。</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【享受条件】</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安置的随军家属必须占企业总人数的60%（含）以上，并有军（含）以上政治和后勤机关出具的证明。</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w:t>
      </w:r>
      <w:r>
        <w:rPr>
          <w:rFonts w:hint="eastAsia" w:eastAsia="宋体"/>
          <w:b/>
          <w:bCs/>
          <w:sz w:val="32"/>
          <w:szCs w:val="32"/>
          <w:lang w:eastAsia="zh-CN"/>
        </w:rPr>
        <w:t>办理流程</w:t>
      </w:r>
      <w:r>
        <w:rPr>
          <w:rFonts w:hint="eastAsia"/>
          <w:b/>
          <w:bCs/>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sz w:val="32"/>
          <w:szCs w:val="32"/>
        </w:rPr>
      </w:pPr>
      <w:r>
        <w:rPr>
          <w:rFonts w:hint="eastAsia" w:ascii="仿宋_GB2312" w:hAnsi="仿宋_GB2312" w:eastAsia="仿宋_GB2312" w:cs="仿宋_GB2312"/>
          <w:sz w:val="32"/>
          <w:szCs w:val="32"/>
          <w:lang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《财政部 国家税务总局关于全面推开营业税改征增值税试点的通知》（财税〔2016〕36号）附件3</w:t>
      </w: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4" w:name="_Toc15036"/>
      <w:bookmarkStart w:id="5" w:name="_Toc9848"/>
      <w:r>
        <w:rPr>
          <w:rFonts w:hint="eastAsia" w:ascii="宋体" w:hAnsi="宋体" w:eastAsia="宋体" w:cs="宋体"/>
          <w:sz w:val="32"/>
          <w:szCs w:val="32"/>
          <w:lang w:val="en-US" w:eastAsia="zh-CN"/>
        </w:rPr>
        <w:t>2.企业安置军转干部免征增值税</w:t>
      </w:r>
      <w:bookmarkEnd w:id="4"/>
      <w:bookmarkEnd w:id="5"/>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为安置自主择业的军队转业干部就业而新开办的企业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为安置自主择业的军队转业干部就业而新开办的企业，自领取税务登记证之日起，其提供的应税服务3年内免征增值税。</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1.安置的自主择业军队转业干部占企业总人数60%（含）以上。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pPr>
      <w:r>
        <w:rPr>
          <w:rFonts w:hint="eastAsia" w:ascii="仿宋_GB2312" w:hAnsi="仿宋_GB2312" w:eastAsia="仿宋_GB2312" w:cs="仿宋_GB2312"/>
          <w:color w:val="000000"/>
          <w:kern w:val="2"/>
          <w:sz w:val="32"/>
          <w:szCs w:val="32"/>
          <w:lang w:val="en-US" w:eastAsia="zh-CN" w:bidi="ar-SA"/>
        </w:rPr>
        <w:t>2.军队转业干部必须持有师以上部队颁发的转业证件。</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w:t>
      </w:r>
      <w:r>
        <w:rPr>
          <w:rFonts w:hint="eastAsia" w:eastAsia="宋体"/>
          <w:b/>
          <w:bCs/>
          <w:sz w:val="32"/>
          <w:szCs w:val="32"/>
          <w:lang w:eastAsia="zh-CN"/>
        </w:rPr>
        <w:t>办理流程</w:t>
      </w:r>
      <w:r>
        <w:rPr>
          <w:rFonts w:hint="eastAsia"/>
          <w:b/>
          <w:bCs/>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pPr>
      <w:r>
        <w:rPr>
          <w:rFonts w:hint="eastAsia" w:ascii="仿宋_GB2312" w:hAnsi="仿宋_GB2312" w:eastAsia="仿宋_GB2312" w:cs="仿宋_GB2312"/>
          <w:sz w:val="32"/>
          <w:szCs w:val="32"/>
          <w:lang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rPr>
      </w:pPr>
      <w:r>
        <w:rPr>
          <w:rFonts w:hint="eastAsia"/>
          <w:b/>
          <w:bCs/>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《财政部 国家税务总局关于全面推开营业税改征增值税试点的通知》（财税〔2016〕36号）附件3</w:t>
      </w:r>
    </w:p>
    <w:p>
      <w:pPr>
        <w:pStyle w:val="2"/>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6" w:name="_Toc11689"/>
      <w:bookmarkStart w:id="7" w:name="_Toc18956"/>
      <w:r>
        <w:rPr>
          <w:rFonts w:hint="eastAsia" w:ascii="宋体" w:hAnsi="宋体" w:eastAsia="宋体" w:cs="宋体"/>
          <w:sz w:val="32"/>
          <w:szCs w:val="32"/>
          <w:lang w:val="en-US" w:eastAsia="zh-CN"/>
        </w:rPr>
        <w:t>3.企业招用退役士兵增值税</w:t>
      </w:r>
      <w:bookmarkEnd w:id="6"/>
      <w:r>
        <w:rPr>
          <w:rFonts w:hint="eastAsia" w:ascii="宋体" w:hAnsi="宋体" w:eastAsia="宋体" w:cs="宋体"/>
          <w:sz w:val="32"/>
          <w:szCs w:val="32"/>
          <w:lang w:val="en-US" w:eastAsia="zh-CN"/>
        </w:rPr>
        <w:t>扣减</w:t>
      </w:r>
      <w:bookmarkEnd w:id="7"/>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招用自主就业退役士兵并与其签订1年以上期限劳动合同并依法缴纳社会保险费的企业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1.2019年1月1日至2023年12月31日，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黑龙江省人民政府确定的具体定额标准为上浮50%，即企业招用自主就业退役士兵，与其签订1年以上期限劳动合同并依法缴纳社会保险费的，自签订劳动合同并缴纳社会保险费当月起，在3年内按实际招用人数，以每人每年9000元的定额标准，依次扣减增值税、城市维护建设税、教育费附加、地方教育附加和企业所得税优惠。</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eastAsia="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1.自主就业退役士兵，是指依照《退役士兵安置条例》（国务院中央军委令第608号）的规定退出现役并按自主就业方式安置的退役士兵。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3.企业与招用自主就业退役士兵签订1年以上期限劳动合同并依法缴纳社会保险费。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4.企业既可以适用上述税收优惠政策，又可以适用其他扶持就业专项税收优惠政策的，可以选择适用最优惠的政策，但不得重复享受。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仿宋_GB2312" w:hAnsi="仿宋_GB2312" w:eastAsia="仿宋_GB2312" w:cs="仿宋_GB2312"/>
          <w:color w:val="000000"/>
          <w:kern w:val="2"/>
          <w:sz w:val="32"/>
          <w:szCs w:val="32"/>
          <w:lang w:val="en-US" w:eastAsia="zh-CN" w:bidi="ar-SA"/>
        </w:rPr>
        <w:t>6.城市维护建设税、教育费附加、地方教育附加的计税依据是享受本项税收优惠政策前的增值税应纳税额。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【办理流程】</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退役军人部关于进一步扶持自主就业退役士兵创业就业有关税收政策的通知》（财税〔2019〕21号）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2.《黑龙江省财政厅 国家税务总局黑龙江省税务局 黑龙江省退役军人事务厅关于转发〈财政部 税务总局 退役军人部关于进一步扶持自主就业退役士兵创业就业有关税收政策的通知〉的通知》（黑财规审〔2019〕2号）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税务总局关于延长部分税收优惠政策执行期限的公告》（2022年第4号）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黑龙江省退役军人事务厅关于延长退役士兵创业就业有关税收政策执行期限的公告》（2022年第1号）</w:t>
      </w:r>
    </w:p>
    <w:p>
      <w:pPr>
        <w:pStyle w:val="2"/>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8" w:name="_Toc29605"/>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4.企业招用重点群体就业增值税扣减</w:t>
      </w:r>
      <w:bookmarkEnd w:id="8"/>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黑龙江省人民政府确定的具体限额标准为上浮30%，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36个月）内按实际招用人数予以定额依次扣减增值税、城市维护建设税、教育费附加、地方教育附加和企业所得税优惠。定额标准为每人每年7800元。</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2.企业招用就业人员既可以适用上述规定的税收优惠政策，又可以适用其他扶持就业专项税收优惠政策的，企业可以选择适用最优惠的政策，但不得重复享受。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与招用建档立卡贫困人口，以及在人力资源社会保障部门公共就业服务机构登记失业半年以上且持《就业创业证》或《就业失业登记证》（注明“企业吸纳税收政策”）的人员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向主管税务机关提出退税申请，主管税务机关按规定审。</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人力资源社会保障部 国务院扶贫办关于进一步支持和促进重点群体创业就业有关税收政策的通知》（财税〔2019〕22号）第二条、第四条、第五条</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2.《国家税务总局 人力资源社会保障部 国务院扶贫办 教育部关于实施支持和促进重点群体创业就业有关税收政策具体操作问题的公告》（2019年第10号）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 人力资源社会保障部 国家乡村振兴局关于延长部分扶贫税收优惠政策执行期限的公告》（2021年第18号）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黑龙江省人力资源和社会保障厅 黑龙江扶贫开发工作办公室关于转发＜财政部 税务总局 人力资源社会保障部 国务院扶贫办关于进一步支持和促进重点群体创业有关税收政策的通知＞的通知》（黑财规审〔2019〕3号）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5.《黑龙江省财政厅 国家税务总局黑龙江省税务局 黑龙江省人力资源和社会保障厅 黑龙江省乡村振兴局关于延长支持和促进重点群体创业就业有关税收政策执行期限的公告》（2021年第7号）</w:t>
      </w:r>
    </w:p>
    <w:p>
      <w:pPr>
        <w:pStyle w:val="2"/>
        <w:ind w:left="0" w:leftChars="0" w:firstLine="0" w:firstLineChars="0"/>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9" w:name="_Toc21610"/>
      <w:r>
        <w:rPr>
          <w:rFonts w:hint="eastAsia" w:ascii="宋体" w:hAnsi="宋体" w:eastAsia="宋体" w:cs="宋体"/>
          <w:sz w:val="32"/>
          <w:szCs w:val="32"/>
          <w:lang w:val="en-US" w:eastAsia="zh-CN"/>
        </w:rPr>
        <w:t>5.安置残疾人就业的单位和个体工商户增值税即征即退</w:t>
      </w:r>
      <w:bookmarkEnd w:id="9"/>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eastAsia="宋体"/>
          <w:b/>
          <w:bCs/>
          <w:sz w:val="32"/>
          <w:szCs w:val="32"/>
          <w:lang w:val="en-US" w:eastAsia="zh-CN"/>
        </w:rPr>
      </w:pPr>
      <w:r>
        <w:rPr>
          <w:rFonts w:hint="eastAsia" w:eastAsia="宋体"/>
          <w:b/>
          <w:bCs/>
          <w:sz w:val="32"/>
          <w:szCs w:val="32"/>
          <w:lang w:val="en-US"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安置残疾人的单位和个体工商户</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eastAsia="宋体"/>
          <w:b/>
          <w:bCs/>
          <w:sz w:val="32"/>
          <w:szCs w:val="32"/>
          <w:lang w:val="en-US" w:eastAsia="zh-CN"/>
        </w:rPr>
      </w:pPr>
      <w:r>
        <w:rPr>
          <w:rFonts w:hint="eastAsia" w:eastAsia="宋体"/>
          <w:b/>
          <w:bCs/>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eastAsia="宋体"/>
          <w:b/>
          <w:bCs/>
          <w:sz w:val="32"/>
          <w:szCs w:val="32"/>
          <w:lang w:val="en-US" w:eastAsia="zh-CN"/>
        </w:rPr>
      </w:pPr>
      <w:r>
        <w:rPr>
          <w:rFonts w:hint="eastAsia" w:eastAsia="宋体"/>
          <w:b/>
          <w:bCs/>
          <w:sz w:val="32"/>
          <w:szCs w:val="32"/>
          <w:lang w:val="en-US"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3.为安置的每位残疾人按月足额缴纳了基本养老保险、基本医疗保险、失业保险、工伤保险和生育保险等社会保险。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4.通过银行等金融机构向安置的每位残疾人，按月支付了不低于纳税人所在区县适用的经省人民政府批准的月最低工资标准的工资。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5.纳税人纳税信用等级为税务机关评定的C级或D级的，不得享受此项税收优惠政策。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果既适用促进残疾人就业增值税优惠政策，又适用重点群体、退役士兵、随军家属、军转干部等支持就业的增值税优惠政策的，纳税人可自行选择适用的优惠政策，但不能累加执行。一经选定，36个月内不得变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eastAsia="宋体"/>
          <w:b/>
          <w:bCs/>
          <w:sz w:val="32"/>
          <w:szCs w:val="32"/>
          <w:lang w:val="en-US" w:eastAsia="zh-CN"/>
        </w:rPr>
      </w:pPr>
      <w:r>
        <w:rPr>
          <w:rFonts w:hint="eastAsia" w:eastAsia="宋体"/>
          <w:b/>
          <w:bCs/>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eastAsia="宋体"/>
          <w:b/>
          <w:bCs/>
          <w:sz w:val="32"/>
          <w:szCs w:val="32"/>
          <w:lang w:val="en-US" w:eastAsia="zh-CN"/>
        </w:rPr>
      </w:pPr>
      <w:r>
        <w:rPr>
          <w:rFonts w:hint="eastAsia" w:eastAsia="宋体"/>
          <w:b/>
          <w:bCs/>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国家税务总局关于促进残疾人就业增值税优惠政策的通知》（财税〔2016〕52号）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2.《国家税务总局关于发布〈促进残疾人就业增值税优惠政策管理办法〉的公告》（2016年第33号）</w:t>
      </w:r>
    </w:p>
    <w:p>
      <w:pPr>
        <w:pStyle w:val="2"/>
        <w:ind w:left="0" w:leftChars="0" w:firstLine="0" w:firstLineChars="0"/>
        <w:rPr>
          <w:rFonts w:hint="eastAsia" w:ascii="黑体" w:hAnsi="黑体" w:eastAsia="黑体" w:cs="黑体"/>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340" w:beforeAutospacing="0" w:after="330" w:afterAutospacing="0" w:line="579" w:lineRule="auto"/>
        <w:textAlignment w:val="auto"/>
        <w:outlineLvl w:val="0"/>
        <w:rPr>
          <w:rFonts w:hint="eastAsia"/>
          <w:b/>
          <w:bCs/>
          <w:sz w:val="44"/>
          <w:szCs w:val="44"/>
          <w:lang w:val="en-US" w:eastAsia="zh-CN"/>
        </w:rPr>
      </w:pPr>
      <w:bookmarkStart w:id="10" w:name="_Toc25815"/>
      <w:bookmarkStart w:id="11" w:name="_Toc11489"/>
      <w:r>
        <w:rPr>
          <w:rFonts w:hint="eastAsia"/>
          <w:b/>
          <w:bCs/>
          <w:sz w:val="44"/>
          <w:szCs w:val="44"/>
          <w:lang w:val="en-US" w:eastAsia="zh-CN"/>
        </w:rPr>
        <w:t>第二部分 企业所得税</w:t>
      </w:r>
      <w:bookmarkEnd w:id="10"/>
      <w:bookmarkEnd w:id="11"/>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12" w:name="_Toc14554"/>
      <w:r>
        <w:rPr>
          <w:rFonts w:hint="eastAsia" w:ascii="宋体" w:hAnsi="宋体" w:eastAsia="宋体" w:cs="宋体"/>
          <w:sz w:val="32"/>
          <w:szCs w:val="32"/>
          <w:lang w:val="en-US" w:eastAsia="zh-CN"/>
        </w:rPr>
        <w:t>6.企业招用退役士兵就业企业所得税扣减</w:t>
      </w:r>
      <w:bookmarkEnd w:id="12"/>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招用自主就业退役士兵并与其签订1年以上期限劳动合同并依法缴纳社会保险费的企业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1.2019年1月1日至2023年12月31日，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黑龙江省人民政府确定的具体定额标准为上浮50%，即企业招用自主就业退役士兵，与其签订1年以上期限劳动合同并依法缴纳社会保险费的，自签订劳动合同并缴纳社会保险费当月起，在3年内按实际招用人数，以每人每年9000元的定额标准，依次扣减增值税、城市维护建设税、教育费附加、地方教育附加和企业所得税优惠。</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1.自主就业退役士兵，是指依照《退役士兵安置条例》（国务院中央军委令第608号）的规定退出现役并按自主就业方式安置的退役士兵。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3.企业与招用自主就业退役士兵签订1年以上期限劳动合同并依法缴纳社会保险费。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4.企业既可以适用上述税收优惠政策，又可以适用其他扶持就业专项税收优惠政策的，可以选择适用最优惠的政策，但不得重复享受。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仿宋_GB2312" w:hAnsi="仿宋_GB2312" w:eastAsia="仿宋_GB2312" w:cs="仿宋_GB2312"/>
          <w:color w:val="000000"/>
          <w:kern w:val="2"/>
          <w:sz w:val="32"/>
          <w:szCs w:val="32"/>
          <w:lang w:val="en-US" w:eastAsia="zh-CN" w:bidi="ar-SA"/>
        </w:rPr>
        <w:t>6.城市维护建设税、教育费附加、地方教育附加的计税依据是享受本项税收优惠政策前的增值税应纳税额。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【办理流程】</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退役军人部关于进一步扶持自主就业退役士兵创业就业有关税收政策的通知》（财税〔2019〕21号）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2.《黑龙江省财政厅 国家税务总局黑龙江省税务局 黑龙江省退役军人事务厅关于转发〈财政部 税务总局 退役军人部关于进一步扶持自主就业退役士兵创业就业有关税收政策的通知〉的通知》（黑财规审〔2019〕2号）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税务总局关于延长部分税收优惠政策执行期限的公告》（2022年第4号）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黑龙江省退役军人事务厅关于延长退役士兵创业就业有关税收政策执行期限的公告》（2022年第1号）</w:t>
      </w:r>
    </w:p>
    <w:p>
      <w:pPr>
        <w:pStyle w:val="2"/>
        <w:ind w:left="0" w:leftChars="0" w:firstLine="0" w:firstLineChars="0"/>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13" w:name="_Toc963"/>
      <w:r>
        <w:rPr>
          <w:rFonts w:hint="eastAsia" w:ascii="宋体" w:hAnsi="宋体" w:eastAsia="宋体" w:cs="宋体"/>
          <w:sz w:val="32"/>
          <w:szCs w:val="32"/>
          <w:lang w:val="en-US" w:eastAsia="zh-CN"/>
        </w:rPr>
        <w:t>7.企业招用重点群体就业企业所得税扣减</w:t>
      </w:r>
      <w:bookmarkEnd w:id="13"/>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黑龙江省人民政府确定的具体限额标准为上浮30%，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36个月）内按实际招用人数予以定额依次扣减增值税、城市维护建设税、教育费附加、地方教育附加和企业所得税优惠。定额标准为每人每年7800元。</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2.企业招用就业人员既可以适用上述规定的税收优惠政策，又可以适用其他扶持就业专项税收优惠政策的，企业可以选择适用最优惠的政策，但不得重复享受。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与招用建档立卡贫困人口，以及在人力资源社会保障部门公共就业服务机构登记失业半年以上且持《就业创业证》或《就业失业登记证》（注明“企业吸纳税收政策”）的人员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向主管税务机关提出退税申请，主管税务机关按规定审。</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人力资源社会保障部 国务院扶贫办关于进一步支持和促进重点群体创业就业有关税收政策的通知》（财税〔2019〕22号）第二条、第四条、第五条</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2.《国家税务总局 人力资源社会保障部 国务院扶贫办 教育部关于实施支持和促进重点群体创业就业有关税收政策具体操作问题的公告》（2019年第10号）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 人力资源社会保障部 国家乡村振兴局关于延长部分扶贫税收优惠政策执行期限的公告》（2021年第18号）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黑龙江省人力资源和社会保障厅 黑龙江扶贫开发工作办公室关于转发＜财政部 税务总局 人力资源社会保障部 国务院扶贫办关于进一步支持和促进重点群体创业有关税收政策的通知＞的通知》（黑财规审〔2019〕3号）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5.《黑龙江省财政厅 国家税务总局黑龙江省税务局 黑龙江省人力资源和社会保障厅 黑龙江省乡村振兴局关于延长支持和促进重点群体创业就业有关税收政策执行期限的公告》（2021年第7号）</w:t>
      </w:r>
    </w:p>
    <w:p>
      <w:pPr>
        <w:pStyle w:val="2"/>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14" w:name="_Toc2494"/>
      <w:r>
        <w:rPr>
          <w:rFonts w:hint="eastAsia" w:ascii="宋体" w:hAnsi="宋体" w:eastAsia="宋体" w:cs="宋体"/>
          <w:sz w:val="32"/>
          <w:szCs w:val="32"/>
          <w:lang w:val="en-US" w:eastAsia="zh-CN"/>
        </w:rPr>
        <w:t>8.安置残疾人就业的企业残疾人工资加计扣除</w:t>
      </w:r>
      <w:bookmarkEnd w:id="14"/>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rPr>
      </w:pPr>
      <w:r>
        <w:rPr>
          <w:rFonts w:hint="eastAsia" w:ascii="Calibri" w:hAnsi="Calibri" w:eastAsia="宋体" w:cs="Times New Roman"/>
          <w:sz w:val="32"/>
          <w:szCs w:val="32"/>
        </w:rPr>
        <w:t>【享受主体】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安置残疾人就业的企业</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企业安置残疾人员的，在按照支付给残疾职工工资据实扣除的基础上，可以在计算应纳税所得额时按照支付给残疾职工工资的100%加计扣除。</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rPr>
      </w:pPr>
      <w:r>
        <w:rPr>
          <w:rFonts w:hint="eastAsia" w:ascii="Calibri" w:hAnsi="Calibri" w:eastAsia="宋体" w:cs="Times New Roman"/>
          <w:sz w:val="32"/>
          <w:szCs w:val="32"/>
        </w:rPr>
        <w:t>【</w:t>
      </w:r>
      <w:r>
        <w:rPr>
          <w:rFonts w:hint="eastAsia" w:ascii="Calibri" w:hAnsi="Calibri" w:eastAsia="宋体" w:cs="Times New Roman"/>
          <w:sz w:val="32"/>
          <w:szCs w:val="32"/>
          <w:lang w:val="en-US" w:eastAsia="zh-Hans"/>
        </w:rPr>
        <w:t>享受条件</w:t>
      </w:r>
      <w:r>
        <w:rPr>
          <w:rFonts w:hint="eastAsia" w:ascii="Calibri" w:hAnsi="Calibri" w:eastAsia="宋体"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1.残疾人员的范围适用《中华人民共和国残疾人保障法》的有关规定。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2.依法与安置的每位残疾人签订了1年以上（含1年）的劳动合同或服务协议，并且安置的每位残疾人在企业实际上岗工作。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3.为安置的每位残疾人按月足额缴纳了企业所在区县人民政府根据国家政策规定的基本养老保险、基本医疗保险、失业保险和工伤保险等社会保险。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4.定期通过银行等金融机构向安置的每位残疾人实际支付了不低于企业所在区县适用的经省级人民政府批准的最低工资标准的工资。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5.具备安置残疾人上岗工作的基本设施。</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rPr>
      </w:pPr>
      <w:r>
        <w:rPr>
          <w:rFonts w:hint="eastAsia" w:ascii="Calibri" w:hAnsi="Calibri" w:eastAsia="宋体" w:cs="Times New Roman"/>
          <w:sz w:val="32"/>
          <w:szCs w:val="32"/>
        </w:rPr>
        <w:t>【</w:t>
      </w:r>
      <w:r>
        <w:rPr>
          <w:rFonts w:hint="eastAsia" w:ascii="Calibri" w:hAnsi="Calibri" w:eastAsia="宋体" w:cs="Times New Roman"/>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向主管税务机关申报享受，相关资料留存备查。</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rPr>
      </w:pPr>
      <w:r>
        <w:rPr>
          <w:rFonts w:hint="eastAsia" w:ascii="Calibri" w:hAnsi="Calibri" w:eastAsia="宋体" w:cs="Times New Roman"/>
          <w:sz w:val="32"/>
          <w:szCs w:val="32"/>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1.《中华人民共和国企业所得税法》第三十条第二项</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2.《中华人民共和国企业所得税法实施条例》第九十六条第一款</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国家税务总局关于安置残疾人员就业有关企业所得税优惠政策问题的通知》（财税〔2009〕70号)</w:t>
      </w:r>
    </w:p>
    <w:p>
      <w:pPr>
        <w:pStyle w:val="2"/>
        <w:rPr>
          <w:rFonts w:hint="eastAsia" w:ascii="黑体" w:hAnsi="黑体" w:eastAsia="黑体" w:cs="黑体"/>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340" w:beforeAutospacing="0" w:after="330" w:afterAutospacing="0" w:line="579" w:lineRule="auto"/>
        <w:textAlignment w:val="auto"/>
        <w:outlineLvl w:val="0"/>
        <w:rPr>
          <w:rFonts w:hint="eastAsia" w:ascii="黑体" w:hAnsi="黑体" w:eastAsia="黑体" w:cs="黑体"/>
          <w:sz w:val="32"/>
          <w:szCs w:val="32"/>
          <w:lang w:val="en-US" w:eastAsia="zh-CN"/>
        </w:rPr>
      </w:pPr>
      <w:bookmarkStart w:id="15" w:name="_Toc27160"/>
      <w:r>
        <w:rPr>
          <w:rFonts w:hint="eastAsia"/>
          <w:b/>
          <w:bCs/>
          <w:sz w:val="44"/>
          <w:szCs w:val="44"/>
          <w:lang w:val="en-US" w:eastAsia="zh-CN"/>
        </w:rPr>
        <w:t>第三部分 财产和行为税</w:t>
      </w:r>
      <w:bookmarkEnd w:id="15"/>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16" w:name="_Toc16090"/>
      <w:r>
        <w:rPr>
          <w:rFonts w:hint="eastAsia" w:ascii="宋体" w:hAnsi="宋体" w:eastAsia="宋体" w:cs="宋体"/>
          <w:sz w:val="32"/>
          <w:szCs w:val="32"/>
          <w:lang w:val="en-US" w:eastAsia="zh-CN"/>
        </w:rPr>
        <w:t>9.企业招用退役士兵就业城市维护建设税扣减</w:t>
      </w:r>
      <w:bookmarkEnd w:id="16"/>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招用自主就业退役士兵并与其签订1年以上期限劳动合同并依法缴纳社会保险费的企业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1.2019年1月1日至2023年12月31日，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黑龙江省人民政府确定的具体定额标准为上浮50%，即企业招用自主就业退役士兵，与其签订1年以上期限劳动合同并依法缴纳社会保险费的，自签订劳动合同并缴纳社会保险费当月起，在3年内按实际招用人数，以每人每年9000元的定额标准，依次扣减增值税、城市维护建设税、教育费附加、地方教育附加和企业所得税优惠。</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1.自主就业退役士兵，是指依照《退役士兵安置条例》（国务院中央军委令第608号）的规定退出现役并按自主就业方式安置的退役士兵。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3.企业与招用自主就业退役士兵签订1年以上期限劳动合同并依法缴纳社会保险费。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4.企业既可以适用上述税收优惠政策，又可以适用其他扶持就业专项税收优惠政策的，可以选择适用最优惠的政策，但不得重复享受。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仿宋_GB2312" w:hAnsi="仿宋_GB2312" w:eastAsia="仿宋_GB2312" w:cs="仿宋_GB2312"/>
          <w:color w:val="000000"/>
          <w:kern w:val="2"/>
          <w:sz w:val="32"/>
          <w:szCs w:val="32"/>
          <w:lang w:val="en-US" w:eastAsia="zh-CN" w:bidi="ar-SA"/>
        </w:rPr>
        <w:t>6.城市维护建设税、教育费附加、地方教育附加的计税依据是享受本项税收优惠政策前的增值税应纳税额。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【办理流程】</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退役军人部关于进一步扶持自主就业退役士兵创业就业有关税收政策的通知》（财税〔2019〕21号）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2.《黑龙江省财政厅 国家税务总局黑龙江省税务局 黑龙江省退役军人事务厅关于转发〈财政部 税务总局 退役军人部关于进一步扶持自主就业退役士兵创业就业有关税收政策的通知〉的通知》（黑财规审〔2019〕2号）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税务总局关于延长部分税收优惠政策执行期限的公告》（2022年第4号）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黑龙江省退役军人事务厅关于延长退役士兵创业就业有关税收政策执行期限的公告》（2022年第1号）</w:t>
      </w:r>
    </w:p>
    <w:p>
      <w:pPr>
        <w:pStyle w:val="2"/>
        <w:rPr>
          <w:rFonts w:hint="eastAsia" w:ascii="黑体" w:hAnsi="黑体" w:eastAsia="黑体" w:cs="黑体"/>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17" w:name="_Toc14618"/>
      <w:r>
        <w:rPr>
          <w:rFonts w:hint="eastAsia" w:ascii="宋体" w:hAnsi="宋体" w:eastAsia="宋体" w:cs="宋体"/>
          <w:sz w:val="32"/>
          <w:szCs w:val="32"/>
          <w:lang w:val="en-US" w:eastAsia="zh-CN"/>
        </w:rPr>
        <w:t>10.企业招用重点群体就业城市维护建设税扣减</w:t>
      </w:r>
      <w:bookmarkEnd w:id="17"/>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黑龙江省人民政府确定的具体限额标准为上浮30%，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36个月）内按实际招用人数予以定额依次扣减增值税、城市维护建设税、教育费附加、地方教育附加和企业所得税优惠。定额标准为每人每年7800元。</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2.企业招用就业人员既可以适用上述规定的税收优惠政策，又可以适用其他扶持就业专项税收优惠政策的，企业可以选择适用最优惠的政策，但不得重复享受。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与招用建档立卡贫困人口，以及在人力资源社会保障部门公共就业服务机构登记失业半年以上且持《就业创业证》或《就业失业登记证》（注明“企业吸纳税收政策”）的人员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向主管税务机关提出退税申请，主管税务机关按规定审。</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人力资源社会保障部 国务院扶贫办关于进一步支持和促进重点群体创业就业有关税收政策的通知》（财税〔2019〕22号）第二条、第四条、第五条</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2.《国家税务总局 人力资源社会保障部 国务院扶贫办 教育部关于实施支持和促进重点群体创业就业有关税收政策具体操作问题的公告》（2019年第10号）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 人力资源社会保障部 国家乡村振兴局关于延长部分扶贫税收优惠政策执行期限的公告》（2021年第18号）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黑龙江省人力资源和社会保障厅 黑龙江扶贫开发工作办公室关于转发＜财政部 税务总局 人力资源社会保障部 国务院扶贫办关于进一步支持和促进重点群体创业有关税收政策的通知＞的通知》（黑财规审〔2019〕3号）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5.《黑龙江省财政厅 国家税务总局黑龙江省税务局 黑龙江省人力资源和社会保障厅 黑龙江省乡村振兴局关于延长支持和促进重点群体创业就业有关税收政策执行期限的公告》（2021年第7号）</w:t>
      </w:r>
    </w:p>
    <w:p>
      <w:pPr>
        <w:pStyle w:val="2"/>
        <w:ind w:left="0" w:leftChars="0" w:firstLine="0" w:firstLineChars="0"/>
        <w:rPr>
          <w:rFonts w:hint="eastAsia" w:ascii="黑体" w:hAnsi="黑体" w:eastAsia="黑体" w:cs="黑体"/>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cs="Times New Roman"/>
          <w:b/>
          <w:kern w:val="2"/>
          <w:sz w:val="32"/>
          <w:szCs w:val="32"/>
          <w:lang w:val="en-US" w:eastAsia="zh-CN" w:bidi="ar-SA"/>
        </w:rPr>
      </w:pPr>
      <w:bookmarkStart w:id="18" w:name="_Toc4851"/>
      <w:r>
        <w:rPr>
          <w:rFonts w:hint="eastAsia" w:ascii="宋体" w:hAnsi="宋体" w:eastAsia="宋体" w:cs="宋体"/>
          <w:sz w:val="32"/>
          <w:szCs w:val="32"/>
          <w:lang w:val="en-US" w:eastAsia="zh-CN"/>
        </w:rPr>
        <w:t>11.安置残疾人就业的企业减免城镇土地使用税</w:t>
      </w:r>
      <w:bookmarkEnd w:id="18"/>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【享受主体】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企业</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对在一个纳税年度内月平均实际安置残疾人就业人数占单位在职职工总数的比例高于25%（含25%）且实际安置残疾人人数高于10人（含10人）的单位，可减征或免征该年度城镇土地使用税。</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w:t>
      </w:r>
      <w:r>
        <w:rPr>
          <w:rFonts w:hint="eastAsia" w:ascii="Calibri" w:hAnsi="Calibri" w:eastAsia="宋体" w:cs="Times New Roman"/>
          <w:sz w:val="32"/>
          <w:szCs w:val="32"/>
          <w:lang w:val="en-US" w:eastAsia="zh-Hans"/>
        </w:rPr>
        <w:t>享受条件</w:t>
      </w:r>
      <w:r>
        <w:rPr>
          <w:rFonts w:hint="eastAsia" w:ascii="Calibri" w:hAnsi="Calibri" w:eastAsia="宋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对在一个纳税年度内月平均实际安置残疾人就业人数占单位在职职工总数的比例高于25%（含25%）且实际安置残疾人人数高于10人（含10人）的单位。</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【办理流程】</w:t>
      </w:r>
    </w:p>
    <w:p>
      <w:pPr>
        <w:ind w:firstLine="640" w:firstLineChars="200"/>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申报即享受，资料留存备查。</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财政部 国家税务总局关于安置残疾人就业单位城镇土地使用税等政策的通知</w:t>
      </w:r>
      <w:r>
        <w:rPr>
          <w:rFonts w:hint="eastAsia" w:ascii="黑体" w:hAnsi="黑体" w:eastAsia="黑体" w:cs="黑体"/>
          <w:sz w:val="32"/>
          <w:szCs w:val="32"/>
          <w:lang w:val="en-US" w:eastAsia="zh-CN"/>
        </w:rPr>
        <w:t>》（财税〔2010〕121号）</w:t>
      </w:r>
    </w:p>
    <w:p>
      <w:pPr>
        <w:pStyle w:val="2"/>
        <w:rPr>
          <w:rFonts w:hint="eastAsia" w:ascii="黑体" w:hAnsi="黑体" w:eastAsia="黑体" w:cs="黑体"/>
          <w:sz w:val="32"/>
          <w:szCs w:val="32"/>
          <w:lang w:val="en-US" w:eastAsia="zh-CN"/>
        </w:rPr>
      </w:pPr>
    </w:p>
    <w:p>
      <w:pPr>
        <w:pStyle w:val="15"/>
        <w:keepNext w:val="0"/>
        <w:keepLines w:val="0"/>
        <w:pageBreakBefore w:val="0"/>
        <w:widowControl w:val="0"/>
        <w:kinsoku/>
        <w:wordWrap/>
        <w:overflowPunct/>
        <w:topLinePunct w:val="0"/>
        <w:autoSpaceDE/>
        <w:autoSpaceDN/>
        <w:bidi w:val="0"/>
        <w:adjustRightInd/>
        <w:snapToGrid/>
        <w:spacing w:before="340" w:beforeAutospacing="0" w:after="330" w:afterAutospacing="0" w:line="579" w:lineRule="auto"/>
        <w:textAlignment w:val="auto"/>
        <w:outlineLvl w:val="0"/>
        <w:rPr>
          <w:rFonts w:hint="eastAsia"/>
          <w:b/>
          <w:bCs/>
          <w:sz w:val="44"/>
          <w:szCs w:val="44"/>
          <w:lang w:val="en-US" w:eastAsia="zh-CN"/>
        </w:rPr>
      </w:pPr>
      <w:bookmarkStart w:id="19" w:name="_Toc21765"/>
      <w:r>
        <w:rPr>
          <w:rFonts w:hint="eastAsia"/>
          <w:b/>
          <w:bCs/>
          <w:sz w:val="44"/>
          <w:szCs w:val="44"/>
          <w:lang w:val="en-US" w:eastAsia="zh-CN"/>
        </w:rPr>
        <w:t>第四部分 非税收入</w:t>
      </w:r>
      <w:bookmarkEnd w:id="19"/>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20" w:name="_Toc25512"/>
      <w:r>
        <w:rPr>
          <w:rFonts w:hint="eastAsia" w:ascii="宋体" w:hAnsi="宋体" w:eastAsia="宋体" w:cs="宋体"/>
          <w:sz w:val="32"/>
          <w:szCs w:val="32"/>
          <w:lang w:val="en-US" w:eastAsia="zh-CN"/>
        </w:rPr>
        <w:t>12.企业招用退役士兵就业减免教育费附加、地方教育附加</w:t>
      </w:r>
      <w:bookmarkEnd w:id="20"/>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招用自主就业退役士兵并与其签订1年以上期限劳动合同并依法缴纳社会保险费的企业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1.2019年1月1日至2023年12月31日，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黑龙江省人民政府确定的具体定额标准为上浮50%，即企业招用自主就业退役士兵，与其签订1年以上期限劳动合同并依法缴纳社会保险费的，自签订劳动合同并缴纳社会保险费当月起，在3年内按实际招用人数，以每人每年9000元的定额标准，依次扣减增值税、城市维护建设税、教育费附加、地方教育附加和企业所得税优惠。</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1.自主就业退役士兵，是指依照《退役士兵安置条例》（国务院中央军委令第608号）的规定退出现役并按自主就业方式安置的退役士兵。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3.企业与招用自主就业退役士兵签订1年以上期限劳动合同并依法缴纳社会保险费。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4.企业既可以适用上述税收优惠政策，又可以适用其他扶持就业专项税收优惠政策的，可以选择适用最优惠的政策，但不得重复享受。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仿宋_GB2312" w:hAnsi="仿宋_GB2312" w:eastAsia="仿宋_GB2312" w:cs="仿宋_GB2312"/>
          <w:color w:val="000000"/>
          <w:kern w:val="2"/>
          <w:sz w:val="32"/>
          <w:szCs w:val="32"/>
          <w:lang w:val="en-US" w:eastAsia="zh-CN" w:bidi="ar-SA"/>
        </w:rPr>
        <w:t>6.城市维护建设税、教育费附加、地方教育附加的计税依据是享受本项税收优惠政策前的增值税应纳税额。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【办理流程】</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申报即享受</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eastAsia="zh-CN"/>
        </w:rPr>
      </w:pPr>
      <w:r>
        <w:rPr>
          <w:rFonts w:hint="eastAsia" w:eastAsia="宋体"/>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退役军人部关于进一步扶持自主就业退役士兵创业就业有关税收政策的通知》（财税〔2019〕21号）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2.《黑龙江省财政厅 国家税务总局黑龙江省税务局 黑龙江省退役军人事务厅关于转发〈财政部 税务总局 退役军人部关于进一步扶持自主就业退役士兵创业就业有关税收政策的通知〉的通知》（黑财规审〔2019〕2号）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税务总局关于延长部分税收优惠政策执行期限的公告》（2022年第4号）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lang w:val="en-US" w:eastAsia="zh-CN"/>
        </w:rPr>
      </w:pPr>
      <w:r>
        <w:rPr>
          <w:rFonts w:hint="eastAsia" w:ascii="黑体" w:hAnsi="黑体" w:eastAsia="黑体" w:cs="黑体"/>
          <w:sz w:val="32"/>
          <w:szCs w:val="32"/>
          <w:lang w:val="en-US" w:eastAsia="zh-CN"/>
        </w:rPr>
        <w:t>4.《黑龙江省财政厅 国家税务总局黑龙江省税务局 黑龙江省退役军人事务厅关于延长退役士兵创业就业有关税收政策执行期限的公告》（2022年第1号）</w:t>
      </w:r>
    </w:p>
    <w:p>
      <w:pPr>
        <w:pStyle w:val="14"/>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21" w:name="_Toc11815"/>
      <w:r>
        <w:rPr>
          <w:rFonts w:hint="eastAsia" w:ascii="宋体" w:hAnsi="宋体" w:eastAsia="宋体" w:cs="宋体"/>
          <w:sz w:val="32"/>
          <w:szCs w:val="32"/>
          <w:lang w:val="en-US" w:eastAsia="zh-CN"/>
        </w:rPr>
        <w:t>13.企业招用重点群体就业减免教育费附加、地方教育附加</w:t>
      </w:r>
      <w:bookmarkEnd w:id="21"/>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【享受主体】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【优惠内容】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黑龙江省人民政府确定的具体限额标准为上浮30%，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36个月）内按实际招用人数予以定额依次扣减增值税、城市维护建设税、教育费附加、地方教育附加和企业所得税优惠。定额标准为每人每年7800元。</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【享受条件】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1.上述政策中的企业，是指属于增值税纳税人或企业所得税纳税人的企业等单位。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2.企业招用就业人员既可以适用上述规定的税收优惠政策，又可以适用其他扶持就业专项税收优惠政策的，企业可以选择适用最优惠的政策，但不得重复享受。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与招用建档立卡贫困人口，以及在人力资源社会保障部门公共就业服务机构登记失业半年以上且持《就业创业证》或《就业失业登记证》（注明“企业吸纳税收政策”）的人员签订1年以上期限劳动合同并依法缴纳社会保险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纳税人实际应缴纳的增值税、城市维护建设税、教育费附加和地方教育附加小于核算的减免税总额的，以实际应缴纳的增值税、城市维护建设税、教育费附加、地方教育附加为限；实际应缴纳的增值税、城市维护建设税、教育费附加和地方教育附加大于核算的减免税总额的，以核算的减免税总额为限。纳税年度终了，如果纳税人实际减免的增值税、城市维护建设税、教育费附加和地方教育附加小于核算的减免税总额，纳税人在企业所得税汇算清缴时，以差额部分扣减企业所得税。当年扣减不完的，不再结转以后年度扣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5.城市维护建设税、教育费附加、地方教育附加的计税依据是享受本项税收优惠政策前的增值税应纳税额。</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向主管税务机关提出退税申请，主管税务机关按规定审。</w:t>
      </w:r>
    </w:p>
    <w:p>
      <w:pPr>
        <w:keepNext w:val="0"/>
        <w:keepLines w:val="0"/>
        <w:pageBreakBefore w:val="0"/>
        <w:widowControl w:val="0"/>
        <w:kinsoku/>
        <w:wordWrap/>
        <w:overflowPunct/>
        <w:topLinePunct w:val="0"/>
        <w:autoSpaceDE/>
        <w:autoSpaceDN/>
        <w:bidi w:val="0"/>
        <w:adjustRightInd/>
        <w:snapToGrid/>
        <w:spacing w:before="260" w:after="260" w:line="416" w:lineRule="auto"/>
        <w:ind w:firstLine="0" w:firstLineChars="0"/>
        <w:jc w:val="both"/>
        <w:textAlignment w:val="auto"/>
        <w:outlineLvl w:val="2"/>
        <w:rPr>
          <w:rFonts w:hint="eastAsia"/>
          <w:b/>
          <w:bCs/>
          <w:sz w:val="32"/>
          <w:szCs w:val="32"/>
          <w:lang w:val="en-US" w:eastAsia="zh-CN"/>
        </w:rPr>
      </w:pPr>
      <w:r>
        <w:rPr>
          <w:rFonts w:hint="eastAsia"/>
          <w:b/>
          <w:bCs/>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 税务总局 人力资源社会保障部 国务院扶贫办关于进一步支持和促进重点群体创业就业有关税收政策的通知》（财税〔2019〕22号）第二条、第四条、第五条</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2.《国家税务总局 人力资源社会保障部 国务院扶贫办 教育部关于实施支持和促进重点群体创业就业有关税收政策具体操作问题的公告》（2019年第10号）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3.《财政部 税务总局 人力资源社会保障部 国家乡村振兴局关于延长部分扶贫税收优惠政策执行期限的公告》（2021年第18号）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4.《黑龙江省财政厅 国家税务总局黑龙江省税务局 黑龙江省人力资源和社会保障厅 黑龙江扶贫开发工作办公室关于转发＜财政部 税务总局 人力资源社会保障部 国务院扶贫办关于进一步支持和促进重点群体创业有关税收政策的通知＞的通知》（黑财规审〔2019〕3号）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5.《黑龙江省财政厅 国家税务总局黑龙江省税务局 黑龙江省人力资源和社会保障厅 黑龙江省乡村振兴局关于延长支持和促进重点群体创业就业有关税收政策执行期限的公告》（2021年第7号）</w:t>
      </w:r>
    </w:p>
    <w:p>
      <w:pPr>
        <w:pStyle w:val="14"/>
        <w:rPr>
          <w:rFonts w:hint="eastAsia" w:ascii="黑体" w:hAnsi="黑体" w:eastAsia="黑体" w:cs="黑体"/>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22" w:name="_Toc19622"/>
      <w:r>
        <w:rPr>
          <w:rFonts w:hint="eastAsia" w:ascii="宋体" w:hAnsi="宋体" w:eastAsia="宋体" w:cs="宋体"/>
          <w:sz w:val="32"/>
          <w:szCs w:val="32"/>
          <w:lang w:val="en-US" w:eastAsia="zh-CN"/>
        </w:rPr>
        <w:t>14.符合条件的企业扩大残疾人就业保障金免征范围</w:t>
      </w:r>
      <w:bookmarkEnd w:id="22"/>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【享受主体】</w:t>
      </w:r>
    </w:p>
    <w:p>
      <w:pPr>
        <w:ind w:firstLine="640" w:firstLineChars="200"/>
        <w:rPr>
          <w:rFonts w:hint="default"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缴纳残疾人就业保障金的企业</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【优惠内容】</w:t>
      </w:r>
    </w:p>
    <w:p>
      <w:pPr>
        <w:ind w:firstLine="640" w:firstLineChars="200"/>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1.自2017年4月1日起，扩大残疾人就业保障金免征范围。将残疾人就业保障金免征范围，由自工商注册登记之日起3年内，在职职工总数20人（含）以下小微企业，调整为在职职工总数30人（含）以下的企业。调整免征范围后，工商注册登记未满3年、在职职工总数30人（含）以下的企业，可在剩余时期内按规定免征残疾人就业保障金。</w:t>
      </w:r>
    </w:p>
    <w:p>
      <w:pPr>
        <w:ind w:firstLine="640" w:firstLineChars="200"/>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2.自2018年4月1日起，将残疾人就业保障金征收标准上限，由当地社会平均工资的3倍降低至2倍。其中，用人单位在职职工平均工资未超过当地社会平均工资2倍（含）的，按用人单位在职职工年平均工资计征残疾人就业保障金；超过当地社会平均工资2倍的，按当地社会平均工资2倍计征残疾人就业保障金。</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【享受条件】</w:t>
      </w:r>
    </w:p>
    <w:p>
      <w:pPr>
        <w:ind w:firstLine="640" w:firstLineChars="200"/>
        <w:rPr>
          <w:rFonts w:hint="default"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应缴纳残疾人就业保障金的义务人</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缴费人自行申报享受</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1.《财政部关于取消、调整部分政府性基金有关政策的通知》（财税〔2017〕18号）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2.《财政部关于降低部分政府性基金征收标准的通知》（财税〔2018〕39号）</w:t>
      </w:r>
    </w:p>
    <w:p>
      <w:pPr>
        <w:pStyle w:val="2"/>
        <w:bidi w:val="0"/>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ascii="宋体" w:hAnsi="宋体" w:eastAsia="宋体" w:cs="宋体"/>
          <w:sz w:val="32"/>
          <w:szCs w:val="32"/>
          <w:lang w:val="en-US" w:eastAsia="zh-CN"/>
        </w:rPr>
      </w:pPr>
      <w:bookmarkStart w:id="24" w:name="_GoBack"/>
      <w:bookmarkEnd w:id="24"/>
      <w:bookmarkStart w:id="23" w:name="_Toc5029"/>
      <w:r>
        <w:rPr>
          <w:rFonts w:hint="eastAsia" w:ascii="宋体" w:hAnsi="宋体" w:eastAsia="宋体" w:cs="宋体"/>
          <w:sz w:val="32"/>
          <w:szCs w:val="32"/>
          <w:lang w:val="en-US" w:eastAsia="zh-CN"/>
        </w:rPr>
        <w:t>15.符合条件的企业减免残疾人就业保障金</w:t>
      </w:r>
      <w:bookmarkEnd w:id="23"/>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【享受主体】</w:t>
      </w:r>
    </w:p>
    <w:p>
      <w:pPr>
        <w:ind w:firstLine="640" w:firstLineChars="200"/>
        <w:rPr>
          <w:rFonts w:hint="default"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缴纳残疾人就业保障金的企业</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【优惠内容】</w:t>
      </w:r>
    </w:p>
    <w:p>
      <w:pPr>
        <w:ind w:firstLine="640" w:firstLineChars="200"/>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自2020年1月1日起至2022年12月31日，对在职职工人数在30人（含）以下的企业，暂免征收残疾人就业保障金。用人单位安置残疾人就业比例达到1%（含）以上，但未达到1.5%的，按规定应缴费额的50%缴纳残疾人就业保障金；用人单位安置残疾人就业比例在1%以下的，按规定应缴费额的90%缴纳残疾人就业保障金。</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sz w:val="32"/>
          <w:szCs w:val="32"/>
          <w:lang w:val="en-US" w:eastAsia="zh-CN"/>
        </w:rPr>
      </w:pPr>
      <w:r>
        <w:rPr>
          <w:rFonts w:hint="eastAsia" w:ascii="Calibri" w:hAnsi="Calibri" w:eastAsia="宋体"/>
          <w:sz w:val="32"/>
          <w:szCs w:val="32"/>
          <w:lang w:val="en-US" w:eastAsia="zh-CN"/>
        </w:rPr>
        <w:t>【享受条件】</w:t>
      </w:r>
    </w:p>
    <w:p>
      <w:pPr>
        <w:ind w:firstLine="640" w:firstLineChars="200"/>
        <w:rPr>
          <w:rFonts w:hint="default" w:ascii="仿宋_GB2312" w:eastAsia="仿宋_GB2312" w:cs="Times New Roman"/>
          <w:b w:val="0"/>
          <w:kern w:val="2"/>
          <w:sz w:val="32"/>
          <w:szCs w:val="32"/>
          <w:lang w:val="en-US" w:eastAsia="zh-CN" w:bidi="ar-SA"/>
        </w:rPr>
      </w:pPr>
      <w:r>
        <w:rPr>
          <w:rFonts w:hint="default" w:ascii="仿宋_GB2312" w:eastAsia="仿宋_GB2312" w:cs="Times New Roman"/>
          <w:b w:val="0"/>
          <w:kern w:val="2"/>
          <w:sz w:val="32"/>
          <w:szCs w:val="32"/>
          <w:lang w:val="en-US" w:eastAsia="zh-CN" w:bidi="ar-SA"/>
        </w:rPr>
        <w:t>应缴纳残疾人就业保障金的义务人</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【办理流程】</w:t>
      </w:r>
    </w:p>
    <w:p>
      <w:pPr>
        <w:ind w:firstLine="640" w:firstLineChars="200"/>
        <w:rPr>
          <w:rFonts w:hint="eastAsia" w:ascii="仿宋_GB2312" w:eastAsia="仿宋_GB2312" w:cs="Times New Roman"/>
          <w:b w:val="0"/>
          <w:kern w:val="2"/>
          <w:sz w:val="32"/>
          <w:szCs w:val="32"/>
          <w:lang w:val="en-US" w:eastAsia="zh-CN" w:bidi="ar-SA"/>
        </w:rPr>
      </w:pPr>
      <w:r>
        <w:rPr>
          <w:rFonts w:hint="eastAsia" w:ascii="仿宋_GB2312" w:eastAsia="仿宋_GB2312" w:cs="Times New Roman"/>
          <w:b w:val="0"/>
          <w:kern w:val="2"/>
          <w:sz w:val="32"/>
          <w:szCs w:val="32"/>
          <w:lang w:val="en-US" w:eastAsia="zh-CN" w:bidi="ar-SA"/>
        </w:rPr>
        <w:t>缴费人自行申报享受</w:t>
      </w:r>
    </w:p>
    <w:p>
      <w:pPr>
        <w:pStyle w:val="5"/>
        <w:keepNext/>
        <w:keepLines/>
        <w:pageBreakBefore w:val="0"/>
        <w:widowControl w:val="0"/>
        <w:kinsoku/>
        <w:wordWrap/>
        <w:overflowPunct/>
        <w:topLinePunct w:val="0"/>
        <w:autoSpaceDE/>
        <w:autoSpaceDN/>
        <w:bidi w:val="0"/>
        <w:adjustRightInd/>
        <w:snapToGrid/>
        <w:spacing w:before="260" w:after="260" w:line="416" w:lineRule="auto"/>
        <w:textAlignment w:val="auto"/>
        <w:outlineLvl w:val="2"/>
        <w:rPr>
          <w:rFonts w:hint="eastAsia" w:ascii="Calibri" w:hAnsi="Calibri" w:eastAsia="宋体" w:cs="Times New Roman"/>
          <w:sz w:val="32"/>
          <w:szCs w:val="32"/>
          <w:lang w:val="en-US" w:eastAsia="zh-CN"/>
        </w:rPr>
      </w:pPr>
      <w:r>
        <w:rPr>
          <w:rFonts w:hint="eastAsia" w:ascii="Calibri" w:hAnsi="Calibri" w:eastAsia="宋体" w:cs="Times New Roman"/>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1.《国家发展改革委 财政部 民政部 人力资源社会保障部 税务总局 中国残联关于印发〈关于完善残疾人就业保障金制度更好促进残疾人就业的总体方案〉的通知》（发改价格规〔2019〕2015号）</w:t>
      </w:r>
    </w:p>
    <w:p>
      <w:pPr>
        <w:keepNext w:val="0"/>
        <w:keepLines w:val="0"/>
        <w:pageBreakBefore w:val="0"/>
        <w:widowControl w:val="0"/>
        <w:kinsoku/>
        <w:wordWrap/>
        <w:overflowPunct/>
        <w:topLinePunct w:val="0"/>
        <w:autoSpaceDE/>
        <w:autoSpaceDN/>
        <w:bidi w:val="0"/>
        <w:adjustRightInd/>
        <w:snapToGrid/>
        <w:spacing w:line="360" w:lineRule="atLeast"/>
        <w:ind w:firstLine="272" w:firstLineChars="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2.《财政部关于调整残疾人就业保障金征收政策的公告》（2019年第98号）</w:t>
      </w:r>
    </w:p>
    <w:p>
      <w:pPr>
        <w:numPr>
          <w:ilvl w:val="0"/>
          <w:numId w:val="0"/>
        </w:numPr>
        <w:rPr>
          <w:rFonts w:hint="eastAsia"/>
          <w:lang w:val="en-US" w:eastAsia="zh-CN"/>
        </w:rPr>
      </w:pPr>
    </w:p>
    <w:p>
      <w:pPr>
        <w:pStyle w:val="2"/>
        <w:rPr>
          <w:rFonts w:hint="eastAsia" w:ascii="黑体" w:hAnsi="黑体" w:eastAsia="黑体" w:cs="黑体"/>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9529C"/>
    <w:rsid w:val="02132253"/>
    <w:rsid w:val="02D12576"/>
    <w:rsid w:val="06E62AFC"/>
    <w:rsid w:val="0EE837BF"/>
    <w:rsid w:val="0EF764F0"/>
    <w:rsid w:val="13D9681B"/>
    <w:rsid w:val="16402A04"/>
    <w:rsid w:val="170D56E7"/>
    <w:rsid w:val="1C7514B4"/>
    <w:rsid w:val="228735F3"/>
    <w:rsid w:val="25753791"/>
    <w:rsid w:val="25777147"/>
    <w:rsid w:val="26280CA0"/>
    <w:rsid w:val="2777283E"/>
    <w:rsid w:val="2BD83BE2"/>
    <w:rsid w:val="375E1168"/>
    <w:rsid w:val="3A82656A"/>
    <w:rsid w:val="40BB0E55"/>
    <w:rsid w:val="46C2353F"/>
    <w:rsid w:val="4A1C382F"/>
    <w:rsid w:val="4CB961D7"/>
    <w:rsid w:val="4D225021"/>
    <w:rsid w:val="4D3124A2"/>
    <w:rsid w:val="4F69529C"/>
    <w:rsid w:val="53AE5E14"/>
    <w:rsid w:val="5F8D3481"/>
    <w:rsid w:val="6BF06691"/>
    <w:rsid w:val="7015265F"/>
    <w:rsid w:val="7AD84969"/>
    <w:rsid w:val="7C7B4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szCs w:val="22"/>
    </w:rPr>
  </w:style>
  <w:style w:type="paragraph" w:styleId="7">
    <w:name w:val="heading 5"/>
    <w:next w:val="1"/>
    <w:unhideWhenUsed/>
    <w:qFormat/>
    <w:uiPriority w:val="9"/>
    <w:pPr>
      <w:keepNext/>
      <w:keepLines/>
      <w:widowControl/>
      <w:spacing w:before="140" w:beforeLines="0" w:beforeAutospacing="0" w:after="35" w:afterLines="35" w:afterAutospacing="0" w:line="264" w:lineRule="auto"/>
      <w:ind w:firstLine="420" w:firstLineChars="200"/>
      <w:jc w:val="both"/>
      <w:outlineLvl w:val="4"/>
    </w:pPr>
    <w:rPr>
      <w:rFonts w:ascii="Arial" w:hAnsi="Arial" w:eastAsia="华文中宋" w:cs="Arial"/>
      <w:color w:val="000000"/>
      <w:kern w:val="2"/>
      <w:sz w:val="22"/>
      <w:szCs w:val="2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val="0"/>
      <w:spacing w:after="120" w:line="312" w:lineRule="auto"/>
      <w:ind w:firstLine="420" w:firstLineChars="200"/>
      <w:jc w:val="both"/>
    </w:pPr>
    <w:rPr>
      <w:rFonts w:ascii="Times New Roman" w:hAnsi="Times New Roman" w:eastAsia="宋体" w:cs="Times New Roman"/>
      <w:color w:val="000000"/>
      <w:kern w:val="2"/>
      <w:sz w:val="22"/>
      <w:szCs w:val="22"/>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Normal Indent1"/>
    <w:qFormat/>
    <w:uiPriority w:val="99"/>
    <w:pPr>
      <w:spacing w:line="660" w:lineRule="exact"/>
      <w:ind w:firstLine="720" w:firstLineChars="200"/>
    </w:pPr>
    <w:rPr>
      <w:rFonts w:ascii="Times New Roman" w:hAnsi="Times New Roman" w:eastAsia="楷体_GB2312" w:cs="Times New Roman"/>
      <w:kern w:val="0"/>
      <w:sz w:val="36"/>
      <w:szCs w:val="36"/>
      <w:lang w:val="en-US" w:eastAsia="zh-CN" w:bidi="ar-SA"/>
    </w:rPr>
  </w:style>
  <w:style w:type="paragraph" w:customStyle="1" w:styleId="15">
    <w:name w:val="样式9"/>
    <w:basedOn w:val="3"/>
    <w:next w:val="1"/>
    <w:qFormat/>
    <w:uiPriority w:val="0"/>
    <w:pPr>
      <w:spacing w:before="260" w:after="260" w:line="413" w:lineRule="auto"/>
      <w:jc w:val="left"/>
      <w:outlineLvl w:val="1"/>
    </w:pPr>
    <w:rPr>
      <w:rFonts w:hint="eastAsia" w:ascii="Calibri" w:hAnsi="Calibri" w:eastAsia="黑体"/>
      <w:sz w:val="36"/>
      <w:szCs w:val="32"/>
    </w:rPr>
  </w:style>
  <w:style w:type="paragraph" w:customStyle="1" w:styleId="1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2022-03-09T07:26:00Z</dcterms:created>
  <dc:creator>张小光</dc:creator>
  <cp:lastModifiedBy>减税办1</cp:lastModifiedBy>
  <cp:lastPrinted>2022-06-22T07:20:00Z</cp:lastPrinted>
  <dcterms:modified xsi:type="dcterms:W3CDTF">2022-06-23T09:00:59Z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