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C9F" w:rsidRDefault="00AD2C9F" w:rsidP="00AD2C9F">
      <w:pPr>
        <w:widowControl/>
        <w:jc w:val="center"/>
        <w:rPr>
          <w:rStyle w:val="a5"/>
          <w:rFonts w:ascii="黑体" w:eastAsia="黑体" w:hAnsi="黑体" w:cs="黑体"/>
          <w:kern w:val="0"/>
          <w:sz w:val="36"/>
          <w:szCs w:val="36"/>
        </w:rPr>
      </w:pPr>
      <w:r>
        <w:rPr>
          <w:rStyle w:val="a5"/>
          <w:rFonts w:ascii="黑体" w:eastAsia="黑体" w:hAnsi="黑体" w:cs="黑体" w:hint="eastAsia"/>
          <w:kern w:val="0"/>
          <w:sz w:val="36"/>
          <w:szCs w:val="36"/>
        </w:rPr>
        <w:t>国家税务总局衢州市税务局关于房地产企业销售未完工产品计税毛利率有关问题的公告</w:t>
      </w:r>
    </w:p>
    <w:p w:rsidR="00AD2C9F" w:rsidRDefault="00AD2C9F" w:rsidP="00AD2C9F">
      <w:pPr>
        <w:widowControl/>
        <w:jc w:val="center"/>
        <w:rPr>
          <w:rFonts w:ascii="仿宋_GB2312" w:eastAsia="仿宋_GB2312" w:hAnsi="仿宋_GB2312" w:cs="仿宋_GB2312"/>
          <w:bCs/>
          <w:kern w:val="0"/>
          <w:sz w:val="32"/>
          <w:szCs w:val="32"/>
        </w:rPr>
      </w:pPr>
      <w:r>
        <w:rPr>
          <w:rStyle w:val="a5"/>
          <w:rFonts w:ascii="仿宋_GB2312" w:eastAsia="仿宋_GB2312" w:hAnsi="仿宋_GB2312" w:cs="仿宋_GB2312" w:hint="eastAsia"/>
          <w:b w:val="0"/>
          <w:bCs/>
          <w:kern w:val="0"/>
          <w:sz w:val="32"/>
          <w:szCs w:val="32"/>
        </w:rPr>
        <w:t>（征求意见稿）</w:t>
      </w:r>
    </w:p>
    <w:p w:rsidR="00AD2C9F" w:rsidRDefault="00AD2C9F" w:rsidP="00AD2C9F">
      <w:pPr>
        <w:widowControl/>
        <w:spacing w:line="1050" w:lineRule="atLeast"/>
        <w:rPr>
          <w:rFonts w:ascii="宋体" w:hAnsi="宋体" w:cs="宋体"/>
          <w:kern w:val="0"/>
          <w:sz w:val="40"/>
          <w:szCs w:val="40"/>
        </w:rPr>
      </w:pPr>
    </w:p>
    <w:p w:rsidR="00AD2C9F" w:rsidRPr="0023443F" w:rsidRDefault="00AD2C9F" w:rsidP="00AD2C9F">
      <w:pPr>
        <w:widowControl/>
        <w:adjustRightInd w:val="0"/>
        <w:snapToGrid w:val="0"/>
        <w:spacing w:line="360" w:lineRule="auto"/>
        <w:jc w:val="left"/>
        <w:rPr>
          <w:rFonts w:ascii="仿宋_GB2312" w:eastAsia="仿宋_GB2312" w:hAnsi="仿宋_GB2312" w:cs="仿宋_GB2312"/>
          <w:color w:val="3D3D3D"/>
          <w:kern w:val="0"/>
          <w:sz w:val="32"/>
          <w:szCs w:val="32"/>
        </w:rPr>
      </w:pPr>
      <w:r>
        <w:rPr>
          <w:rFonts w:ascii="仿宋_GB2312" w:eastAsia="仿宋_GB2312" w:hAnsi="仿宋_GB2312" w:cs="仿宋_GB2312" w:hint="eastAsia"/>
          <w:sz w:val="32"/>
          <w:szCs w:val="32"/>
        </w:rPr>
        <w:t xml:space="preserve">    </w:t>
      </w:r>
      <w:r w:rsidRPr="0023443F">
        <w:rPr>
          <w:rFonts w:ascii="仿宋_GB2312" w:eastAsia="仿宋_GB2312" w:hAnsi="仿宋_GB2312" w:cs="仿宋_GB2312"/>
          <w:color w:val="3D3D3D"/>
          <w:kern w:val="0"/>
          <w:sz w:val="32"/>
          <w:szCs w:val="32"/>
        </w:rPr>
        <w:t>根据《</w:t>
      </w:r>
      <w:hyperlink r:id="rId6" w:tgtFrame="http://80.16.16.114/Fgk/_BLANK" w:history="1">
        <w:r w:rsidRPr="0023443F">
          <w:rPr>
            <w:rFonts w:ascii="仿宋_GB2312" w:eastAsia="仿宋_GB2312" w:hAnsi="仿宋_GB2312" w:cs="仿宋_GB2312"/>
            <w:color w:val="3D3D3D"/>
            <w:kern w:val="0"/>
            <w:sz w:val="32"/>
            <w:szCs w:val="32"/>
          </w:rPr>
          <w:t>中华人民共和国企业所得税法</w:t>
        </w:r>
      </w:hyperlink>
      <w:r w:rsidRPr="0023443F">
        <w:rPr>
          <w:rFonts w:ascii="仿宋_GB2312" w:eastAsia="仿宋_GB2312" w:hAnsi="仿宋_GB2312" w:cs="仿宋_GB2312"/>
          <w:color w:val="3D3D3D"/>
          <w:kern w:val="0"/>
          <w:sz w:val="32"/>
          <w:szCs w:val="32"/>
        </w:rPr>
        <w:t>》及其</w:t>
      </w:r>
      <w:hyperlink r:id="rId7" w:tgtFrame="http://80.16.16.114/Fgk/_BLANK" w:history="1">
        <w:r w:rsidRPr="0023443F">
          <w:rPr>
            <w:rFonts w:ascii="仿宋_GB2312" w:eastAsia="仿宋_GB2312" w:hAnsi="仿宋_GB2312" w:cs="仿宋_GB2312"/>
            <w:color w:val="3D3D3D"/>
            <w:kern w:val="0"/>
            <w:sz w:val="32"/>
            <w:szCs w:val="32"/>
          </w:rPr>
          <w:t>实施条例</w:t>
        </w:r>
      </w:hyperlink>
      <w:r w:rsidRPr="0023443F">
        <w:rPr>
          <w:rFonts w:ascii="仿宋_GB2312" w:eastAsia="仿宋_GB2312" w:hAnsi="仿宋_GB2312" w:cs="仿宋_GB2312"/>
          <w:color w:val="3D3D3D"/>
          <w:kern w:val="0"/>
          <w:sz w:val="32"/>
          <w:szCs w:val="32"/>
        </w:rPr>
        <w:t>、《</w:t>
      </w:r>
      <w:hyperlink r:id="rId8" w:history="1">
        <w:r w:rsidRPr="0023443F">
          <w:rPr>
            <w:rFonts w:ascii="仿宋_GB2312" w:eastAsia="仿宋_GB2312" w:hAnsi="仿宋_GB2312" w:cs="仿宋_GB2312"/>
            <w:color w:val="3D3D3D"/>
            <w:kern w:val="0"/>
            <w:sz w:val="32"/>
            <w:szCs w:val="32"/>
          </w:rPr>
          <w:t>国家税务总局关于印发&lt;房地产开发经营业务企业所得税处理办法&gt;的通知</w:t>
        </w:r>
      </w:hyperlink>
      <w:r w:rsidRPr="0023443F">
        <w:rPr>
          <w:rFonts w:ascii="仿宋_GB2312" w:eastAsia="仿宋_GB2312" w:hAnsi="仿宋_GB2312" w:cs="仿宋_GB2312"/>
          <w:color w:val="3D3D3D"/>
          <w:kern w:val="0"/>
          <w:sz w:val="32"/>
          <w:szCs w:val="32"/>
        </w:rPr>
        <w:t>》（国税发〔2009〕31号）</w:t>
      </w:r>
      <w:r w:rsidRPr="0023443F">
        <w:rPr>
          <w:rFonts w:ascii="仿宋_GB2312" w:eastAsia="仿宋_GB2312" w:hAnsi="仿宋_GB2312" w:cs="仿宋_GB2312" w:hint="eastAsia"/>
          <w:color w:val="3D3D3D"/>
          <w:kern w:val="0"/>
          <w:sz w:val="32"/>
          <w:szCs w:val="32"/>
        </w:rPr>
        <w:t>、</w:t>
      </w:r>
      <w:r w:rsidRPr="0023443F">
        <w:rPr>
          <w:rFonts w:ascii="仿宋_GB2312" w:eastAsia="仿宋_GB2312" w:hAnsi="仿宋_GB2312" w:cs="仿宋_GB2312"/>
          <w:color w:val="3D3D3D"/>
          <w:kern w:val="0"/>
          <w:sz w:val="32"/>
          <w:szCs w:val="32"/>
        </w:rPr>
        <w:t>《国家税务总局浙江省税务局关于房地产企业销售未完工产品计税毛利率有关问题的公告》（国家税务总局浙江省税务局公告2018年第10号）规定，房地产开发经营企业销售未完工开发产品取得的收入，应先按预计计税毛利率分季（或月）计算出预计毛利额，计入当期应纳税所得额。现就全市房地产开发经营企业销售未完工开发产品的计税毛利率公告如下：</w:t>
      </w:r>
    </w:p>
    <w:p w:rsidR="00AD2C9F" w:rsidRPr="0023443F" w:rsidRDefault="00AD2C9F" w:rsidP="00AD2C9F">
      <w:pPr>
        <w:widowControl/>
        <w:adjustRightInd w:val="0"/>
        <w:snapToGrid w:val="0"/>
        <w:spacing w:line="360" w:lineRule="auto"/>
        <w:ind w:firstLineChars="200" w:firstLine="640"/>
        <w:jc w:val="left"/>
        <w:rPr>
          <w:rFonts w:ascii="仿宋_GB2312" w:eastAsia="仿宋_GB2312" w:hAnsi="仿宋_GB2312" w:cs="仿宋_GB2312"/>
          <w:color w:val="3D3D3D"/>
          <w:kern w:val="0"/>
          <w:sz w:val="32"/>
          <w:szCs w:val="32"/>
        </w:rPr>
      </w:pPr>
      <w:r w:rsidRPr="0023443F">
        <w:rPr>
          <w:rFonts w:ascii="仿宋_GB2312" w:eastAsia="仿宋_GB2312" w:hAnsi="仿宋_GB2312" w:cs="仿宋_GB2312"/>
          <w:color w:val="3D3D3D"/>
          <w:kern w:val="0"/>
          <w:sz w:val="32"/>
          <w:szCs w:val="32"/>
        </w:rPr>
        <w:t>一、开发项目位于衢州地级市城区和郊区，计税毛利率为1</w:t>
      </w:r>
      <w:r>
        <w:rPr>
          <w:rFonts w:ascii="仿宋_GB2312" w:eastAsia="仿宋_GB2312" w:hAnsi="仿宋_GB2312" w:cs="仿宋_GB2312" w:hint="eastAsia"/>
          <w:color w:val="3D3D3D"/>
          <w:kern w:val="0"/>
          <w:sz w:val="32"/>
          <w:szCs w:val="32"/>
        </w:rPr>
        <w:t>0</w:t>
      </w:r>
      <w:r w:rsidRPr="0023443F">
        <w:rPr>
          <w:rFonts w:ascii="仿宋_GB2312" w:eastAsia="仿宋_GB2312" w:hAnsi="仿宋_GB2312" w:cs="仿宋_GB2312"/>
          <w:color w:val="3D3D3D"/>
          <w:kern w:val="0"/>
          <w:sz w:val="32"/>
          <w:szCs w:val="32"/>
        </w:rPr>
        <w:t>%。</w:t>
      </w:r>
    </w:p>
    <w:p w:rsidR="00AD2C9F" w:rsidRPr="0023443F" w:rsidRDefault="00AD2C9F" w:rsidP="00AD2C9F">
      <w:pPr>
        <w:widowControl/>
        <w:adjustRightInd w:val="0"/>
        <w:snapToGrid w:val="0"/>
        <w:spacing w:line="360" w:lineRule="auto"/>
        <w:ind w:firstLineChars="200" w:firstLine="640"/>
        <w:jc w:val="left"/>
        <w:rPr>
          <w:rFonts w:ascii="仿宋_GB2312" w:eastAsia="仿宋_GB2312" w:hAnsi="仿宋_GB2312" w:cs="仿宋_GB2312"/>
          <w:color w:val="3D3D3D"/>
          <w:kern w:val="0"/>
          <w:sz w:val="32"/>
          <w:szCs w:val="32"/>
        </w:rPr>
      </w:pPr>
      <w:r w:rsidRPr="0023443F">
        <w:rPr>
          <w:rFonts w:ascii="仿宋_GB2312" w:eastAsia="仿宋_GB2312" w:hAnsi="仿宋_GB2312" w:cs="仿宋_GB2312"/>
          <w:color w:val="3D3D3D"/>
          <w:kern w:val="0"/>
          <w:sz w:val="32"/>
          <w:szCs w:val="32"/>
        </w:rPr>
        <w:t>二、开发项目位于其他地区的，计税毛利率为</w:t>
      </w:r>
      <w:r>
        <w:rPr>
          <w:rFonts w:ascii="仿宋_GB2312" w:eastAsia="仿宋_GB2312" w:hAnsi="仿宋_GB2312" w:cs="仿宋_GB2312" w:hint="eastAsia"/>
          <w:color w:val="3D3D3D"/>
          <w:kern w:val="0"/>
          <w:sz w:val="32"/>
          <w:szCs w:val="32"/>
        </w:rPr>
        <w:t>5</w:t>
      </w:r>
      <w:r w:rsidRPr="0023443F">
        <w:rPr>
          <w:rFonts w:ascii="仿宋_GB2312" w:eastAsia="仿宋_GB2312" w:hAnsi="仿宋_GB2312" w:cs="仿宋_GB2312"/>
          <w:color w:val="3D3D3D"/>
          <w:kern w:val="0"/>
          <w:sz w:val="32"/>
          <w:szCs w:val="32"/>
        </w:rPr>
        <w:t>%。</w:t>
      </w:r>
    </w:p>
    <w:p w:rsidR="00AD2C9F" w:rsidRPr="0023443F" w:rsidRDefault="00AD2C9F" w:rsidP="00AD2C9F">
      <w:pPr>
        <w:widowControl/>
        <w:adjustRightInd w:val="0"/>
        <w:snapToGrid w:val="0"/>
        <w:spacing w:line="360" w:lineRule="auto"/>
        <w:ind w:firstLineChars="200" w:firstLine="640"/>
        <w:jc w:val="left"/>
        <w:rPr>
          <w:rFonts w:ascii="仿宋_GB2312" w:eastAsia="仿宋_GB2312" w:hAnsi="仿宋_GB2312" w:cs="仿宋_GB2312"/>
          <w:color w:val="3D3D3D"/>
          <w:kern w:val="0"/>
          <w:sz w:val="32"/>
          <w:szCs w:val="32"/>
        </w:rPr>
      </w:pPr>
      <w:r w:rsidRPr="0023443F">
        <w:rPr>
          <w:rFonts w:ascii="仿宋_GB2312" w:eastAsia="仿宋_GB2312" w:hAnsi="仿宋_GB2312" w:cs="仿宋_GB2312"/>
          <w:color w:val="3D3D3D"/>
          <w:kern w:val="0"/>
          <w:sz w:val="32"/>
          <w:szCs w:val="32"/>
        </w:rPr>
        <w:t>属于政府相关部门审批建设的小微企业园开发项目的，计税毛利率为5%。</w:t>
      </w:r>
    </w:p>
    <w:p w:rsidR="00AD2C9F" w:rsidRPr="0023443F" w:rsidRDefault="00AD2C9F" w:rsidP="00AD2C9F">
      <w:pPr>
        <w:widowControl/>
        <w:adjustRightInd w:val="0"/>
        <w:snapToGrid w:val="0"/>
        <w:spacing w:line="360" w:lineRule="auto"/>
        <w:ind w:firstLineChars="200" w:firstLine="640"/>
        <w:jc w:val="left"/>
        <w:rPr>
          <w:rFonts w:ascii="仿宋_GB2312" w:eastAsia="仿宋_GB2312" w:hAnsi="仿宋_GB2312" w:cs="仿宋_GB2312"/>
          <w:color w:val="3D3D3D"/>
          <w:kern w:val="0"/>
          <w:sz w:val="32"/>
          <w:szCs w:val="32"/>
        </w:rPr>
      </w:pPr>
      <w:r w:rsidRPr="0023443F">
        <w:rPr>
          <w:rFonts w:ascii="仿宋_GB2312" w:eastAsia="仿宋_GB2312" w:hAnsi="仿宋_GB2312" w:cs="仿宋_GB2312"/>
          <w:color w:val="3D3D3D"/>
          <w:kern w:val="0"/>
          <w:sz w:val="32"/>
          <w:szCs w:val="32"/>
        </w:rPr>
        <w:t>三、属于经济适用房、限价房和危改房的，计税毛利率为3%。</w:t>
      </w:r>
    </w:p>
    <w:p w:rsidR="00AD2C9F" w:rsidRPr="0023443F" w:rsidRDefault="00AD2C9F" w:rsidP="00AD2C9F">
      <w:pPr>
        <w:widowControl/>
        <w:adjustRightInd w:val="0"/>
        <w:snapToGrid w:val="0"/>
        <w:spacing w:line="360" w:lineRule="auto"/>
        <w:ind w:firstLineChars="200" w:firstLine="640"/>
        <w:jc w:val="left"/>
        <w:rPr>
          <w:rFonts w:ascii="仿宋_GB2312" w:eastAsia="仿宋_GB2312" w:hAnsi="仿宋_GB2312" w:cs="仿宋_GB2312"/>
          <w:color w:val="3D3D3D"/>
          <w:kern w:val="0"/>
          <w:sz w:val="32"/>
          <w:szCs w:val="32"/>
        </w:rPr>
      </w:pPr>
      <w:r w:rsidRPr="0023443F">
        <w:rPr>
          <w:rFonts w:ascii="仿宋_GB2312" w:eastAsia="仿宋_GB2312" w:hAnsi="仿宋_GB2312" w:cs="仿宋_GB2312" w:hint="eastAsia"/>
          <w:color w:val="3D3D3D"/>
          <w:kern w:val="0"/>
          <w:sz w:val="32"/>
          <w:szCs w:val="32"/>
        </w:rPr>
        <w:t>《公告》发布前企业销售未完工产品取得的收入已按确定的毛利率申报的，不再对其所适用的计税毛利率进行调整。</w:t>
      </w:r>
    </w:p>
    <w:p w:rsidR="00AD2C9F" w:rsidRPr="0023443F" w:rsidRDefault="00AD2C9F" w:rsidP="00AD2C9F">
      <w:pPr>
        <w:widowControl/>
        <w:adjustRightInd w:val="0"/>
        <w:snapToGrid w:val="0"/>
        <w:spacing w:line="360" w:lineRule="auto"/>
        <w:ind w:firstLineChars="200" w:firstLine="640"/>
        <w:jc w:val="left"/>
        <w:rPr>
          <w:rFonts w:ascii="仿宋_GB2312" w:eastAsia="仿宋_GB2312" w:hAnsi="仿宋_GB2312" w:cs="仿宋_GB2312"/>
          <w:color w:val="3D3D3D"/>
          <w:kern w:val="0"/>
          <w:sz w:val="32"/>
          <w:szCs w:val="32"/>
        </w:rPr>
      </w:pPr>
      <w:r w:rsidRPr="0023443F">
        <w:rPr>
          <w:rFonts w:ascii="仿宋_GB2312" w:eastAsia="仿宋_GB2312" w:hAnsi="仿宋_GB2312" w:cs="仿宋_GB2312" w:hint="eastAsia"/>
          <w:color w:val="3D3D3D"/>
          <w:kern w:val="0"/>
          <w:sz w:val="32"/>
          <w:szCs w:val="32"/>
        </w:rPr>
        <w:lastRenderedPageBreak/>
        <w:t>本公告自</w:t>
      </w:r>
      <w:r w:rsidR="005121F1">
        <w:rPr>
          <w:rFonts w:ascii="仿宋_GB2312" w:eastAsia="仿宋_GB2312" w:hAnsi="仿宋_GB2312" w:cs="仿宋_GB2312" w:hint="eastAsia"/>
          <w:color w:val="3D3D3D"/>
          <w:kern w:val="0"/>
          <w:sz w:val="32"/>
          <w:szCs w:val="32"/>
        </w:rPr>
        <w:t>2022年7月1日</w:t>
      </w:r>
      <w:r w:rsidRPr="0023443F">
        <w:rPr>
          <w:rFonts w:ascii="仿宋_GB2312" w:eastAsia="仿宋_GB2312" w:hAnsi="仿宋_GB2312" w:cs="仿宋_GB2312" w:hint="eastAsia"/>
          <w:color w:val="3D3D3D"/>
          <w:kern w:val="0"/>
          <w:sz w:val="32"/>
          <w:szCs w:val="32"/>
        </w:rPr>
        <w:t>起实施。</w:t>
      </w:r>
    </w:p>
    <w:p w:rsidR="00AD2C9F" w:rsidRPr="0023443F" w:rsidRDefault="00AD2C9F" w:rsidP="00AD2C9F">
      <w:pPr>
        <w:widowControl/>
        <w:adjustRightInd w:val="0"/>
        <w:snapToGrid w:val="0"/>
        <w:spacing w:line="360" w:lineRule="auto"/>
        <w:ind w:firstLineChars="200" w:firstLine="640"/>
        <w:jc w:val="left"/>
        <w:rPr>
          <w:rFonts w:ascii="仿宋_GB2312" w:eastAsia="仿宋_GB2312" w:hAnsi="仿宋_GB2312" w:cs="仿宋_GB2312"/>
          <w:color w:val="3D3D3D"/>
          <w:kern w:val="0"/>
          <w:sz w:val="32"/>
          <w:szCs w:val="32"/>
        </w:rPr>
      </w:pPr>
      <w:r w:rsidRPr="0023443F">
        <w:rPr>
          <w:rFonts w:ascii="仿宋_GB2312" w:eastAsia="仿宋_GB2312" w:hAnsi="仿宋_GB2312" w:cs="仿宋_GB2312" w:hint="eastAsia"/>
          <w:color w:val="3D3D3D"/>
          <w:kern w:val="0"/>
          <w:sz w:val="32"/>
          <w:szCs w:val="32"/>
        </w:rPr>
        <w:t>特此公告。</w:t>
      </w:r>
    </w:p>
    <w:p w:rsidR="00AD2C9F" w:rsidRPr="0023443F" w:rsidRDefault="00AD2C9F" w:rsidP="00AD2C9F">
      <w:pPr>
        <w:widowControl/>
        <w:adjustRightInd w:val="0"/>
        <w:snapToGrid w:val="0"/>
        <w:spacing w:line="360" w:lineRule="auto"/>
        <w:jc w:val="left"/>
        <w:rPr>
          <w:rFonts w:ascii="仿宋_GB2312" w:eastAsia="仿宋_GB2312" w:hAnsi="仿宋_GB2312" w:cs="仿宋_GB2312"/>
          <w:color w:val="3D3D3D"/>
          <w:kern w:val="0"/>
          <w:sz w:val="32"/>
          <w:szCs w:val="32"/>
        </w:rPr>
      </w:pPr>
    </w:p>
    <w:p w:rsidR="00AD2C9F" w:rsidRPr="0023443F" w:rsidRDefault="00AD2C9F" w:rsidP="00AD2C9F">
      <w:pPr>
        <w:widowControl/>
        <w:adjustRightInd w:val="0"/>
        <w:snapToGrid w:val="0"/>
        <w:spacing w:line="360" w:lineRule="auto"/>
        <w:jc w:val="left"/>
        <w:rPr>
          <w:rFonts w:ascii="仿宋_GB2312" w:eastAsia="仿宋_GB2312" w:hAnsi="仿宋_GB2312" w:cs="仿宋_GB2312"/>
          <w:color w:val="3D3D3D"/>
          <w:kern w:val="0"/>
          <w:sz w:val="32"/>
          <w:szCs w:val="32"/>
        </w:rPr>
      </w:pPr>
    </w:p>
    <w:p w:rsidR="0093087D" w:rsidRDefault="00AD2C9F" w:rsidP="00AD2C9F">
      <w:r w:rsidRPr="0023443F">
        <w:rPr>
          <w:rFonts w:ascii="仿宋_GB2312" w:eastAsia="仿宋_GB2312" w:hAnsi="仿宋_GB2312" w:cs="仿宋_GB2312" w:hint="eastAsia"/>
          <w:color w:val="3D3D3D"/>
          <w:kern w:val="0"/>
          <w:sz w:val="32"/>
          <w:szCs w:val="32"/>
        </w:rPr>
        <w:t xml:space="preserve">　　　　　　　　　　　国家税务总局衢州市税务局</w:t>
      </w:r>
    </w:p>
    <w:sectPr w:rsidR="0093087D" w:rsidSect="00511C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F88" w:rsidRDefault="00F33F88" w:rsidP="00AD2C9F">
      <w:r>
        <w:separator/>
      </w:r>
    </w:p>
  </w:endnote>
  <w:endnote w:type="continuationSeparator" w:id="1">
    <w:p w:rsidR="00F33F88" w:rsidRDefault="00F33F88" w:rsidP="00AD2C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F88" w:rsidRDefault="00F33F88" w:rsidP="00AD2C9F">
      <w:r>
        <w:separator/>
      </w:r>
    </w:p>
  </w:footnote>
  <w:footnote w:type="continuationSeparator" w:id="1">
    <w:p w:rsidR="00F33F88" w:rsidRDefault="00F33F88" w:rsidP="00AD2C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2C9F"/>
    <w:rsid w:val="00511C5B"/>
    <w:rsid w:val="005121F1"/>
    <w:rsid w:val="0093087D"/>
    <w:rsid w:val="00AD2C9F"/>
    <w:rsid w:val="00F33F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C9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2C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D2C9F"/>
    <w:rPr>
      <w:sz w:val="18"/>
      <w:szCs w:val="18"/>
    </w:rPr>
  </w:style>
  <w:style w:type="paragraph" w:styleId="a4">
    <w:name w:val="footer"/>
    <w:basedOn w:val="a"/>
    <w:link w:val="Char0"/>
    <w:uiPriority w:val="99"/>
    <w:semiHidden/>
    <w:unhideWhenUsed/>
    <w:rsid w:val="00AD2C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D2C9F"/>
    <w:rPr>
      <w:sz w:val="18"/>
      <w:szCs w:val="18"/>
    </w:rPr>
  </w:style>
  <w:style w:type="character" w:styleId="a5">
    <w:name w:val="Strong"/>
    <w:basedOn w:val="a0"/>
    <w:uiPriority w:val="22"/>
    <w:qFormat/>
    <w:rsid w:val="00AD2C9F"/>
    <w:rPr>
      <w:b/>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80.16.16.114/Fgk/FaGui.ashx?id=0ada76bf-2b96-4191-9df1-0271c63b80db" TargetMode="External"/><Relationship Id="rId3" Type="http://schemas.openxmlformats.org/officeDocument/2006/relationships/webSettings" Target="webSettings.xml"/><Relationship Id="rId7" Type="http://schemas.openxmlformats.org/officeDocument/2006/relationships/hyperlink" Target="http://80.16.16.114/Fgk/FaGui.ashx?id=dc58a7da-809e-4833-8187-0e8bd667fb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80.16.16.114/Fgk/FaGui.ashx?id=eafad90b-5ffe-4df5-af27-f0da71abafc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720</Characters>
  <Application>Microsoft Office Word</Application>
  <DocSecurity>0</DocSecurity>
  <Lines>6</Lines>
  <Paragraphs>1</Paragraphs>
  <ScaleCrop>false</ScaleCrop>
  <Company>衢州市税务局</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余华龙</dc:creator>
  <cp:keywords/>
  <dc:description/>
  <cp:lastModifiedBy>余华龙</cp:lastModifiedBy>
  <cp:revision>3</cp:revision>
  <dcterms:created xsi:type="dcterms:W3CDTF">2022-07-08T08:59:00Z</dcterms:created>
  <dcterms:modified xsi:type="dcterms:W3CDTF">2022-07-11T03:01:00Z</dcterms:modified>
</cp:coreProperties>
</file>