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firstLine="880"/>
        <w:jc w:val="center"/>
        <w:textAlignment w:val="auto"/>
        <w:rPr>
          <w:rFonts w:hint="eastAsia" w:ascii="方正小标宋简体" w:hAnsi="方正小标宋简体" w:eastAsia="方正小标宋简体" w:cs="方正小标宋简体"/>
          <w:sz w:val="44"/>
          <w:szCs w:val="44"/>
          <w:lang w:val="en-US" w:eastAsia="zh-CN"/>
        </w:rPr>
      </w:pPr>
      <w:bookmarkStart w:id="41" w:name="_GoBack"/>
      <w:bookmarkEnd w:id="41"/>
    </w:p>
    <w:p>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outlineLvl w:val="0"/>
        <w:rPr>
          <w:rFonts w:hint="eastAsia" w:ascii="方正小标宋简体" w:hAnsi="方正小标宋简体" w:eastAsia="方正小标宋简体" w:cs="方正小标宋简体"/>
          <w:sz w:val="44"/>
          <w:szCs w:val="44"/>
          <w:lang w:val="en-US" w:eastAsia="zh-CN"/>
        </w:rPr>
      </w:pPr>
      <w:bookmarkStart w:id="0" w:name="_Toc12336"/>
      <w:bookmarkStart w:id="1" w:name="_Toc19248"/>
      <w:bookmarkStart w:id="2" w:name="_Toc22624"/>
      <w:bookmarkStart w:id="3" w:name="_Toc20822"/>
      <w:bookmarkStart w:id="4" w:name="_Toc24252"/>
      <w:bookmarkStart w:id="5" w:name="_Toc28225"/>
      <w:r>
        <w:rPr>
          <w:rFonts w:hint="eastAsia" w:ascii="方正小标宋简体" w:hAnsi="方正小标宋简体" w:eastAsia="方正小标宋简体" w:cs="方正小标宋简体"/>
          <w:sz w:val="44"/>
          <w:szCs w:val="44"/>
          <w:lang w:val="en-US" w:eastAsia="zh-CN"/>
        </w:rPr>
        <w:t>碳达峰碳中和税费征收政策指引</w:t>
      </w:r>
      <w:bookmarkEnd w:id="0"/>
      <w:bookmarkEnd w:id="1"/>
      <w:bookmarkEnd w:id="2"/>
      <w:bookmarkEnd w:id="3"/>
      <w:bookmarkEnd w:id="4"/>
      <w:bookmarkEnd w:id="5"/>
    </w:p>
    <w:p>
      <w:pPr>
        <w:pStyle w:val="2"/>
        <w:rPr>
          <w:rFonts w:hint="eastAsia"/>
          <w:lang w:val="en-US" w:eastAsia="zh-CN"/>
        </w:rPr>
      </w:pPr>
    </w:p>
    <w:p>
      <w:pPr>
        <w:keepNext w:val="0"/>
        <w:keepLines w:val="0"/>
        <w:pageBreakBefore w:val="0"/>
        <w:widowControl w:val="0"/>
        <w:kinsoku/>
        <w:wordWrap/>
        <w:overflowPunct/>
        <w:topLinePunct w:val="0"/>
        <w:autoSpaceDE/>
        <w:autoSpaceDN/>
        <w:bidi w:val="0"/>
        <w:spacing w:before="0" w:beforeLines="0" w:after="0" w:afterLines="0" w:line="240" w:lineRule="auto"/>
        <w:ind w:left="0" w:leftChars="0" w:right="0" w:rightChars="0" w:firstLine="0" w:firstLineChars="0"/>
        <w:jc w:val="both"/>
        <w:textAlignment w:val="auto"/>
        <w:rPr>
          <w:rFonts w:ascii="宋体" w:hAnsi="宋体" w:eastAsia="宋体"/>
          <w:sz w:val="21"/>
        </w:rPr>
      </w:pP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Cs w:val="0"/>
          <w:kern w:val="2"/>
          <w:sz w:val="21"/>
          <w:szCs w:val="24"/>
          <w:lang w:val="en-US" w:eastAsia="zh-CN" w:bidi="ar-SA"/>
        </w:rPr>
      </w:pP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TOC \o "1-2" \h \u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HYPERLINK \l _Toc31350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
          <w:bCs/>
          <w:kern w:val="2"/>
          <w:sz w:val="21"/>
          <w:szCs w:val="24"/>
          <w:lang w:val="en-US" w:eastAsia="zh-CN" w:bidi="ar-SA"/>
        </w:rPr>
        <w:t>第一部分 消费税</w:t>
      </w:r>
      <w:r>
        <w:rPr>
          <w:rFonts w:hint="eastAsia" w:ascii="宋体" w:hAnsi="宋体" w:eastAsia="宋体" w:cs="宋体"/>
          <w:bCs w:val="0"/>
          <w:kern w:val="2"/>
          <w:sz w:val="21"/>
          <w:szCs w:val="24"/>
          <w:lang w:val="en-US" w:eastAsia="zh-CN" w:bidi="ar-SA"/>
        </w:rPr>
        <w:tab/>
      </w: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PAGEREF _Toc31350 \h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Cs w:val="0"/>
          <w:kern w:val="2"/>
          <w:sz w:val="21"/>
          <w:szCs w:val="24"/>
          <w:lang w:val="en-US" w:eastAsia="zh-CN" w:bidi="ar-SA"/>
        </w:rPr>
        <w:t>1</w:t>
      </w:r>
      <w:r>
        <w:rPr>
          <w:rFonts w:hint="eastAsia" w:ascii="宋体" w:hAnsi="宋体" w:eastAsia="宋体" w:cs="宋体"/>
          <w:bCs w:val="0"/>
          <w:kern w:val="2"/>
          <w:sz w:val="21"/>
          <w:szCs w:val="24"/>
          <w:lang w:val="en-US" w:eastAsia="zh-CN" w:bidi="ar-SA"/>
        </w:rPr>
        <w:fldChar w:fldCharType="end"/>
      </w:r>
      <w:r>
        <w:rPr>
          <w:rFonts w:hint="eastAsia" w:ascii="宋体" w:hAnsi="宋体" w:eastAsia="宋体" w:cs="宋体"/>
          <w:bCs w:val="0"/>
          <w:kern w:val="2"/>
          <w:sz w:val="21"/>
          <w:szCs w:val="24"/>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val="0"/>
          <w:kern w:val="2"/>
          <w:sz w:val="21"/>
          <w:szCs w:val="24"/>
          <w:lang w:val="en-US" w:eastAsia="zh-CN" w:bidi="ar-SA"/>
        </w:rPr>
      </w:pP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HYPERLINK \l _Toc28330 </w:instrText>
      </w:r>
      <w:r>
        <w:rPr>
          <w:rFonts w:hint="eastAsia" w:ascii="宋体" w:hAnsi="宋体" w:eastAsia="宋体" w:cs="宋体"/>
          <w:bCs w:val="0"/>
          <w:kern w:val="2"/>
          <w:sz w:val="21"/>
          <w:szCs w:val="24"/>
          <w:lang w:val="en-US" w:eastAsia="zh-CN" w:bidi="ar-SA"/>
        </w:rPr>
        <w:fldChar w:fldCharType="separate"/>
      </w:r>
      <w:r>
        <w:rPr>
          <w:rFonts w:hint="default" w:ascii="宋体" w:hAnsi="宋体" w:eastAsia="宋体" w:cs="宋体"/>
          <w:bCs w:val="0"/>
          <w:kern w:val="2"/>
          <w:sz w:val="21"/>
          <w:szCs w:val="24"/>
          <w:lang w:val="en-US" w:eastAsia="zh-CN" w:bidi="ar-SA"/>
        </w:rPr>
        <w:t xml:space="preserve">1. </w:t>
      </w:r>
      <w:r>
        <w:rPr>
          <w:rFonts w:hint="eastAsia" w:ascii="宋体" w:hAnsi="宋体" w:eastAsia="宋体" w:cs="宋体"/>
          <w:bCs w:val="0"/>
          <w:kern w:val="2"/>
          <w:sz w:val="21"/>
          <w:szCs w:val="24"/>
          <w:lang w:val="en-US" w:eastAsia="zh-CN" w:bidi="ar-SA"/>
        </w:rPr>
        <w:t>对电池征收消费税</w:t>
      </w:r>
      <w:r>
        <w:rPr>
          <w:rFonts w:hint="eastAsia" w:ascii="宋体" w:hAnsi="宋体" w:eastAsia="宋体" w:cs="宋体"/>
          <w:bCs w:val="0"/>
          <w:kern w:val="2"/>
          <w:sz w:val="21"/>
          <w:szCs w:val="24"/>
          <w:lang w:val="en-US" w:eastAsia="zh-CN" w:bidi="ar-SA"/>
        </w:rPr>
        <w:tab/>
      </w: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PAGEREF _Toc28330 \h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Cs w:val="0"/>
          <w:kern w:val="2"/>
          <w:sz w:val="21"/>
          <w:szCs w:val="24"/>
          <w:lang w:val="en-US" w:eastAsia="zh-CN" w:bidi="ar-SA"/>
        </w:rPr>
        <w:t>1</w:t>
      </w:r>
      <w:r>
        <w:rPr>
          <w:rFonts w:hint="eastAsia" w:ascii="宋体" w:hAnsi="宋体" w:eastAsia="宋体" w:cs="宋体"/>
          <w:bCs w:val="0"/>
          <w:kern w:val="2"/>
          <w:sz w:val="21"/>
          <w:szCs w:val="24"/>
          <w:lang w:val="en-US" w:eastAsia="zh-CN" w:bidi="ar-SA"/>
        </w:rPr>
        <w:fldChar w:fldCharType="end"/>
      </w:r>
      <w:r>
        <w:rPr>
          <w:rFonts w:hint="eastAsia" w:ascii="宋体" w:hAnsi="宋体" w:eastAsia="宋体" w:cs="宋体"/>
          <w:bCs w:val="0"/>
          <w:kern w:val="2"/>
          <w:sz w:val="21"/>
          <w:szCs w:val="24"/>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val="0"/>
          <w:kern w:val="2"/>
          <w:sz w:val="21"/>
          <w:szCs w:val="24"/>
          <w:lang w:val="en-US" w:eastAsia="zh-CN" w:bidi="ar-SA"/>
        </w:rPr>
      </w:pP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HYPERLINK \l _Toc6681 </w:instrText>
      </w:r>
      <w:r>
        <w:rPr>
          <w:rFonts w:hint="eastAsia" w:ascii="宋体" w:hAnsi="宋体" w:eastAsia="宋体" w:cs="宋体"/>
          <w:bCs w:val="0"/>
          <w:kern w:val="2"/>
          <w:sz w:val="21"/>
          <w:szCs w:val="24"/>
          <w:lang w:val="en-US" w:eastAsia="zh-CN" w:bidi="ar-SA"/>
        </w:rPr>
        <w:fldChar w:fldCharType="separate"/>
      </w:r>
      <w:r>
        <w:rPr>
          <w:rFonts w:hint="default" w:ascii="宋体" w:hAnsi="宋体" w:eastAsia="宋体" w:cs="宋体"/>
          <w:bCs w:val="0"/>
          <w:kern w:val="2"/>
          <w:sz w:val="21"/>
          <w:szCs w:val="24"/>
          <w:lang w:val="en-US" w:eastAsia="zh-CN" w:bidi="ar-SA"/>
        </w:rPr>
        <w:t xml:space="preserve">2. </w:t>
      </w:r>
      <w:r>
        <w:rPr>
          <w:rFonts w:hint="eastAsia" w:ascii="宋体" w:hAnsi="宋体" w:eastAsia="宋体" w:cs="宋体"/>
          <w:bCs w:val="0"/>
          <w:kern w:val="2"/>
          <w:sz w:val="21"/>
          <w:szCs w:val="24"/>
          <w:lang w:val="en-US" w:eastAsia="zh-CN" w:bidi="ar-SA"/>
        </w:rPr>
        <w:t>对涂料征收消费税</w:t>
      </w:r>
      <w:r>
        <w:rPr>
          <w:rFonts w:hint="eastAsia" w:ascii="宋体" w:hAnsi="宋体" w:eastAsia="宋体" w:cs="宋体"/>
          <w:bCs w:val="0"/>
          <w:kern w:val="2"/>
          <w:sz w:val="21"/>
          <w:szCs w:val="24"/>
          <w:lang w:val="en-US" w:eastAsia="zh-CN" w:bidi="ar-SA"/>
        </w:rPr>
        <w:tab/>
      </w: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PAGEREF _Toc6681 \h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Cs w:val="0"/>
          <w:kern w:val="2"/>
          <w:sz w:val="21"/>
          <w:szCs w:val="24"/>
          <w:lang w:val="en-US" w:eastAsia="zh-CN" w:bidi="ar-SA"/>
        </w:rPr>
        <w:t>4</w:t>
      </w:r>
      <w:r>
        <w:rPr>
          <w:rFonts w:hint="eastAsia" w:ascii="宋体" w:hAnsi="宋体" w:eastAsia="宋体" w:cs="宋体"/>
          <w:bCs w:val="0"/>
          <w:kern w:val="2"/>
          <w:sz w:val="21"/>
          <w:szCs w:val="24"/>
          <w:lang w:val="en-US" w:eastAsia="zh-CN" w:bidi="ar-SA"/>
        </w:rPr>
        <w:fldChar w:fldCharType="end"/>
      </w:r>
      <w:r>
        <w:rPr>
          <w:rFonts w:hint="eastAsia" w:ascii="宋体" w:hAnsi="宋体" w:eastAsia="宋体" w:cs="宋体"/>
          <w:bCs w:val="0"/>
          <w:kern w:val="2"/>
          <w:sz w:val="21"/>
          <w:szCs w:val="24"/>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val="0"/>
          <w:kern w:val="2"/>
          <w:sz w:val="21"/>
          <w:szCs w:val="24"/>
          <w:lang w:val="en-US" w:eastAsia="zh-CN" w:bidi="ar-SA"/>
        </w:rPr>
      </w:pP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HYPERLINK \l _Toc9500 </w:instrText>
      </w:r>
      <w:r>
        <w:rPr>
          <w:rFonts w:hint="eastAsia" w:ascii="宋体" w:hAnsi="宋体" w:eastAsia="宋体" w:cs="宋体"/>
          <w:bCs w:val="0"/>
          <w:kern w:val="2"/>
          <w:sz w:val="21"/>
          <w:szCs w:val="24"/>
          <w:lang w:val="en-US" w:eastAsia="zh-CN" w:bidi="ar-SA"/>
        </w:rPr>
        <w:fldChar w:fldCharType="separate"/>
      </w:r>
      <w:r>
        <w:rPr>
          <w:rFonts w:hint="default" w:ascii="宋体" w:hAnsi="宋体" w:eastAsia="宋体" w:cs="宋体"/>
          <w:bCs w:val="0"/>
          <w:kern w:val="2"/>
          <w:sz w:val="21"/>
          <w:szCs w:val="24"/>
          <w:lang w:val="en-US" w:eastAsia="zh-CN" w:bidi="ar-SA"/>
        </w:rPr>
        <w:t xml:space="preserve">3. </w:t>
      </w:r>
      <w:r>
        <w:rPr>
          <w:rFonts w:hint="eastAsia" w:ascii="宋体" w:hAnsi="宋体" w:eastAsia="宋体" w:cs="宋体"/>
          <w:bCs w:val="0"/>
          <w:kern w:val="2"/>
          <w:sz w:val="21"/>
          <w:szCs w:val="24"/>
          <w:lang w:val="en-US" w:eastAsia="zh-CN" w:bidi="ar-SA"/>
        </w:rPr>
        <w:t>对成品油征收消费税</w:t>
      </w:r>
      <w:r>
        <w:rPr>
          <w:rFonts w:hint="eastAsia" w:ascii="宋体" w:hAnsi="宋体" w:eastAsia="宋体" w:cs="宋体"/>
          <w:bCs w:val="0"/>
          <w:kern w:val="2"/>
          <w:sz w:val="21"/>
          <w:szCs w:val="24"/>
          <w:lang w:val="en-US" w:eastAsia="zh-CN" w:bidi="ar-SA"/>
        </w:rPr>
        <w:tab/>
      </w: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PAGEREF _Toc9500 \h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Cs w:val="0"/>
          <w:kern w:val="2"/>
          <w:sz w:val="21"/>
          <w:szCs w:val="24"/>
          <w:lang w:val="en-US" w:eastAsia="zh-CN" w:bidi="ar-SA"/>
        </w:rPr>
        <w:t>5</w:t>
      </w:r>
      <w:r>
        <w:rPr>
          <w:rFonts w:hint="eastAsia" w:ascii="宋体" w:hAnsi="宋体" w:eastAsia="宋体" w:cs="宋体"/>
          <w:bCs w:val="0"/>
          <w:kern w:val="2"/>
          <w:sz w:val="21"/>
          <w:szCs w:val="24"/>
          <w:lang w:val="en-US" w:eastAsia="zh-CN" w:bidi="ar-SA"/>
        </w:rPr>
        <w:fldChar w:fldCharType="end"/>
      </w:r>
      <w:r>
        <w:rPr>
          <w:rFonts w:hint="eastAsia" w:ascii="宋体" w:hAnsi="宋体" w:eastAsia="宋体" w:cs="宋体"/>
          <w:bCs w:val="0"/>
          <w:kern w:val="2"/>
          <w:sz w:val="21"/>
          <w:szCs w:val="24"/>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val="0"/>
          <w:kern w:val="2"/>
          <w:sz w:val="21"/>
          <w:szCs w:val="24"/>
          <w:lang w:val="en-US" w:eastAsia="zh-CN" w:bidi="ar-SA"/>
        </w:rPr>
      </w:pP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HYPERLINK \l _Toc11217 </w:instrText>
      </w:r>
      <w:r>
        <w:rPr>
          <w:rFonts w:hint="eastAsia" w:ascii="宋体" w:hAnsi="宋体" w:eastAsia="宋体" w:cs="宋体"/>
          <w:bCs w:val="0"/>
          <w:kern w:val="2"/>
          <w:sz w:val="21"/>
          <w:szCs w:val="24"/>
          <w:lang w:val="en-US" w:eastAsia="zh-CN" w:bidi="ar-SA"/>
        </w:rPr>
        <w:fldChar w:fldCharType="separate"/>
      </w:r>
      <w:r>
        <w:rPr>
          <w:rFonts w:hint="default" w:ascii="宋体" w:hAnsi="宋体" w:eastAsia="宋体" w:cs="宋体"/>
          <w:bCs w:val="0"/>
          <w:kern w:val="2"/>
          <w:sz w:val="21"/>
          <w:szCs w:val="24"/>
          <w:lang w:val="en-US" w:eastAsia="zh-CN" w:bidi="ar-SA"/>
        </w:rPr>
        <w:t xml:space="preserve">4. </w:t>
      </w:r>
      <w:r>
        <w:rPr>
          <w:rFonts w:hint="eastAsia" w:ascii="宋体" w:hAnsi="宋体" w:eastAsia="宋体" w:cs="宋体"/>
          <w:bCs w:val="0"/>
          <w:kern w:val="2"/>
          <w:sz w:val="21"/>
          <w:szCs w:val="24"/>
          <w:lang w:val="en-US" w:eastAsia="zh-CN" w:bidi="ar-SA"/>
        </w:rPr>
        <w:t>对鞭炮焰火征收消费税</w:t>
      </w:r>
      <w:r>
        <w:rPr>
          <w:rFonts w:hint="eastAsia" w:ascii="宋体" w:hAnsi="宋体" w:eastAsia="宋体" w:cs="宋体"/>
          <w:bCs w:val="0"/>
          <w:kern w:val="2"/>
          <w:sz w:val="21"/>
          <w:szCs w:val="24"/>
          <w:lang w:val="en-US" w:eastAsia="zh-CN" w:bidi="ar-SA"/>
        </w:rPr>
        <w:tab/>
      </w: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PAGEREF _Toc11217 \h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Cs w:val="0"/>
          <w:kern w:val="2"/>
          <w:sz w:val="21"/>
          <w:szCs w:val="24"/>
          <w:lang w:val="en-US" w:eastAsia="zh-CN" w:bidi="ar-SA"/>
        </w:rPr>
        <w:t>5</w:t>
      </w:r>
      <w:r>
        <w:rPr>
          <w:rFonts w:hint="eastAsia" w:ascii="宋体" w:hAnsi="宋体" w:eastAsia="宋体" w:cs="宋体"/>
          <w:bCs w:val="0"/>
          <w:kern w:val="2"/>
          <w:sz w:val="21"/>
          <w:szCs w:val="24"/>
          <w:lang w:val="en-US" w:eastAsia="zh-CN" w:bidi="ar-SA"/>
        </w:rPr>
        <w:fldChar w:fldCharType="end"/>
      </w:r>
      <w:r>
        <w:rPr>
          <w:rFonts w:hint="eastAsia" w:ascii="宋体" w:hAnsi="宋体" w:eastAsia="宋体" w:cs="宋体"/>
          <w:bCs w:val="0"/>
          <w:kern w:val="2"/>
          <w:sz w:val="21"/>
          <w:szCs w:val="24"/>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val="0"/>
          <w:kern w:val="2"/>
          <w:sz w:val="21"/>
          <w:szCs w:val="24"/>
          <w:lang w:val="en-US" w:eastAsia="zh-CN" w:bidi="ar-SA"/>
        </w:rPr>
      </w:pP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HYPERLINK \l _Toc29028 </w:instrText>
      </w:r>
      <w:r>
        <w:rPr>
          <w:rFonts w:hint="eastAsia" w:ascii="宋体" w:hAnsi="宋体" w:eastAsia="宋体" w:cs="宋体"/>
          <w:bCs w:val="0"/>
          <w:kern w:val="2"/>
          <w:sz w:val="21"/>
          <w:szCs w:val="24"/>
          <w:lang w:val="en-US" w:eastAsia="zh-CN" w:bidi="ar-SA"/>
        </w:rPr>
        <w:fldChar w:fldCharType="separate"/>
      </w:r>
      <w:r>
        <w:rPr>
          <w:rFonts w:hint="default" w:ascii="宋体" w:hAnsi="宋体" w:eastAsia="宋体" w:cs="宋体"/>
          <w:bCs w:val="0"/>
          <w:kern w:val="2"/>
          <w:sz w:val="21"/>
          <w:szCs w:val="24"/>
          <w:lang w:val="en-US" w:eastAsia="zh-CN" w:bidi="ar-SA"/>
        </w:rPr>
        <w:t xml:space="preserve">5. </w:t>
      </w:r>
      <w:r>
        <w:rPr>
          <w:rFonts w:hint="eastAsia" w:ascii="宋体" w:hAnsi="宋体" w:eastAsia="宋体" w:cs="宋体"/>
          <w:bCs w:val="0"/>
          <w:kern w:val="2"/>
          <w:sz w:val="21"/>
          <w:szCs w:val="24"/>
          <w:lang w:val="en-US" w:eastAsia="zh-CN" w:bidi="ar-SA"/>
        </w:rPr>
        <w:t>对木制一次性筷子、实木地板征收消费税</w:t>
      </w:r>
      <w:r>
        <w:rPr>
          <w:rFonts w:hint="eastAsia" w:ascii="宋体" w:hAnsi="宋体" w:eastAsia="宋体" w:cs="宋体"/>
          <w:bCs w:val="0"/>
          <w:kern w:val="2"/>
          <w:sz w:val="21"/>
          <w:szCs w:val="24"/>
          <w:lang w:val="en-US" w:eastAsia="zh-CN" w:bidi="ar-SA"/>
        </w:rPr>
        <w:tab/>
      </w: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PAGEREF _Toc29028 \h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Cs w:val="0"/>
          <w:kern w:val="2"/>
          <w:sz w:val="21"/>
          <w:szCs w:val="24"/>
          <w:lang w:val="en-US" w:eastAsia="zh-CN" w:bidi="ar-SA"/>
        </w:rPr>
        <w:t>6</w:t>
      </w:r>
      <w:r>
        <w:rPr>
          <w:rFonts w:hint="eastAsia" w:ascii="宋体" w:hAnsi="宋体" w:eastAsia="宋体" w:cs="宋体"/>
          <w:bCs w:val="0"/>
          <w:kern w:val="2"/>
          <w:sz w:val="21"/>
          <w:szCs w:val="24"/>
          <w:lang w:val="en-US" w:eastAsia="zh-CN" w:bidi="ar-SA"/>
        </w:rPr>
        <w:fldChar w:fldCharType="end"/>
      </w:r>
      <w:r>
        <w:rPr>
          <w:rFonts w:hint="eastAsia" w:ascii="宋体" w:hAnsi="宋体" w:eastAsia="宋体" w:cs="宋体"/>
          <w:bCs w:val="0"/>
          <w:kern w:val="2"/>
          <w:sz w:val="21"/>
          <w:szCs w:val="24"/>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Cs w:val="0"/>
          <w:kern w:val="2"/>
          <w:sz w:val="21"/>
          <w:szCs w:val="24"/>
          <w:lang w:val="en-US" w:eastAsia="zh-CN" w:bidi="ar-SA"/>
        </w:rPr>
      </w:pP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HYPERLINK \l _Toc24774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
          <w:bCs/>
          <w:kern w:val="2"/>
          <w:sz w:val="21"/>
          <w:szCs w:val="24"/>
          <w:lang w:val="en-US" w:eastAsia="zh-CN" w:bidi="ar-SA"/>
        </w:rPr>
        <w:t>第二部分 资源税</w:t>
      </w:r>
      <w:r>
        <w:rPr>
          <w:rFonts w:hint="eastAsia" w:ascii="宋体" w:hAnsi="宋体" w:eastAsia="宋体" w:cs="宋体"/>
          <w:bCs w:val="0"/>
          <w:kern w:val="2"/>
          <w:sz w:val="21"/>
          <w:szCs w:val="24"/>
          <w:lang w:val="en-US" w:eastAsia="zh-CN" w:bidi="ar-SA"/>
        </w:rPr>
        <w:tab/>
      </w: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PAGEREF _Toc24774 \h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Cs w:val="0"/>
          <w:kern w:val="2"/>
          <w:sz w:val="21"/>
          <w:szCs w:val="24"/>
          <w:lang w:val="en-US" w:eastAsia="zh-CN" w:bidi="ar-SA"/>
        </w:rPr>
        <w:t>7</w:t>
      </w:r>
      <w:r>
        <w:rPr>
          <w:rFonts w:hint="eastAsia" w:ascii="宋体" w:hAnsi="宋体" w:eastAsia="宋体" w:cs="宋体"/>
          <w:bCs w:val="0"/>
          <w:kern w:val="2"/>
          <w:sz w:val="21"/>
          <w:szCs w:val="24"/>
          <w:lang w:val="en-US" w:eastAsia="zh-CN" w:bidi="ar-SA"/>
        </w:rPr>
        <w:fldChar w:fldCharType="end"/>
      </w:r>
      <w:r>
        <w:rPr>
          <w:rFonts w:hint="eastAsia" w:ascii="宋体" w:hAnsi="宋体" w:eastAsia="宋体" w:cs="宋体"/>
          <w:bCs w:val="0"/>
          <w:kern w:val="2"/>
          <w:sz w:val="21"/>
          <w:szCs w:val="24"/>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val="0"/>
          <w:kern w:val="2"/>
          <w:sz w:val="21"/>
          <w:szCs w:val="24"/>
          <w:lang w:val="en-US" w:eastAsia="zh-CN" w:bidi="ar-SA"/>
        </w:rPr>
      </w:pP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HYPERLINK \l _Toc10943 </w:instrText>
      </w:r>
      <w:r>
        <w:rPr>
          <w:rFonts w:hint="eastAsia" w:ascii="宋体" w:hAnsi="宋体" w:eastAsia="宋体" w:cs="宋体"/>
          <w:bCs w:val="0"/>
          <w:kern w:val="2"/>
          <w:sz w:val="21"/>
          <w:szCs w:val="24"/>
          <w:lang w:val="en-US" w:eastAsia="zh-CN" w:bidi="ar-SA"/>
        </w:rPr>
        <w:fldChar w:fldCharType="separate"/>
      </w:r>
      <w:r>
        <w:rPr>
          <w:rFonts w:hint="default" w:ascii="宋体" w:hAnsi="宋体" w:eastAsia="宋体" w:cs="宋体"/>
          <w:bCs w:val="0"/>
          <w:kern w:val="2"/>
          <w:sz w:val="21"/>
          <w:szCs w:val="24"/>
          <w:lang w:val="en-US" w:eastAsia="zh-CN" w:bidi="ar-SA"/>
        </w:rPr>
        <w:t xml:space="preserve">6. </w:t>
      </w:r>
      <w:r>
        <w:rPr>
          <w:rFonts w:hint="eastAsia" w:ascii="宋体" w:hAnsi="宋体" w:eastAsia="宋体" w:cs="宋体"/>
          <w:bCs w:val="0"/>
          <w:kern w:val="2"/>
          <w:sz w:val="21"/>
          <w:szCs w:val="24"/>
          <w:lang w:val="en-US" w:eastAsia="zh-CN" w:bidi="ar-SA"/>
        </w:rPr>
        <w:t>对在我省行政区域内开发应税资源的单位和个人征收资源税</w:t>
      </w:r>
      <w:r>
        <w:rPr>
          <w:rFonts w:hint="eastAsia" w:ascii="宋体" w:hAnsi="宋体" w:eastAsia="宋体" w:cs="宋体"/>
          <w:bCs w:val="0"/>
          <w:kern w:val="2"/>
          <w:sz w:val="21"/>
          <w:szCs w:val="24"/>
          <w:lang w:val="en-US" w:eastAsia="zh-CN" w:bidi="ar-SA"/>
        </w:rPr>
        <w:tab/>
      </w: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PAGEREF _Toc10943 \h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Cs w:val="0"/>
          <w:kern w:val="2"/>
          <w:sz w:val="21"/>
          <w:szCs w:val="24"/>
          <w:lang w:val="en-US" w:eastAsia="zh-CN" w:bidi="ar-SA"/>
        </w:rPr>
        <w:t>7</w:t>
      </w:r>
      <w:r>
        <w:rPr>
          <w:rFonts w:hint="eastAsia" w:ascii="宋体" w:hAnsi="宋体" w:eastAsia="宋体" w:cs="宋体"/>
          <w:bCs w:val="0"/>
          <w:kern w:val="2"/>
          <w:sz w:val="21"/>
          <w:szCs w:val="24"/>
          <w:lang w:val="en-US" w:eastAsia="zh-CN" w:bidi="ar-SA"/>
        </w:rPr>
        <w:fldChar w:fldCharType="end"/>
      </w:r>
      <w:r>
        <w:rPr>
          <w:rFonts w:hint="eastAsia" w:ascii="宋体" w:hAnsi="宋体" w:eastAsia="宋体" w:cs="宋体"/>
          <w:bCs w:val="0"/>
          <w:kern w:val="2"/>
          <w:sz w:val="21"/>
          <w:szCs w:val="24"/>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Cs w:val="0"/>
          <w:kern w:val="2"/>
          <w:sz w:val="21"/>
          <w:szCs w:val="24"/>
          <w:lang w:val="en-US" w:eastAsia="zh-CN" w:bidi="ar-SA"/>
        </w:rPr>
      </w:pP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HYPERLINK \l _Toc15147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
          <w:bCs/>
          <w:kern w:val="2"/>
          <w:sz w:val="21"/>
          <w:szCs w:val="24"/>
          <w:lang w:val="en-US" w:eastAsia="zh-CN" w:bidi="ar-SA"/>
        </w:rPr>
        <w:t>第三部分 车船税</w:t>
      </w:r>
      <w:r>
        <w:rPr>
          <w:rFonts w:hint="eastAsia" w:ascii="宋体" w:hAnsi="宋体" w:eastAsia="宋体" w:cs="宋体"/>
          <w:bCs w:val="0"/>
          <w:kern w:val="2"/>
          <w:sz w:val="21"/>
          <w:szCs w:val="24"/>
          <w:lang w:val="en-US" w:eastAsia="zh-CN" w:bidi="ar-SA"/>
        </w:rPr>
        <w:tab/>
      </w: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PAGEREF _Toc15147 \h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Cs w:val="0"/>
          <w:kern w:val="2"/>
          <w:sz w:val="21"/>
          <w:szCs w:val="24"/>
          <w:lang w:val="en-US" w:eastAsia="zh-CN" w:bidi="ar-SA"/>
        </w:rPr>
        <w:t>21</w:t>
      </w:r>
      <w:r>
        <w:rPr>
          <w:rFonts w:hint="eastAsia" w:ascii="宋体" w:hAnsi="宋体" w:eastAsia="宋体" w:cs="宋体"/>
          <w:bCs w:val="0"/>
          <w:kern w:val="2"/>
          <w:sz w:val="21"/>
          <w:szCs w:val="24"/>
          <w:lang w:val="en-US" w:eastAsia="zh-CN" w:bidi="ar-SA"/>
        </w:rPr>
        <w:fldChar w:fldCharType="end"/>
      </w:r>
      <w:r>
        <w:rPr>
          <w:rFonts w:hint="eastAsia" w:ascii="宋体" w:hAnsi="宋体" w:eastAsia="宋体" w:cs="宋体"/>
          <w:bCs w:val="0"/>
          <w:kern w:val="2"/>
          <w:sz w:val="21"/>
          <w:szCs w:val="24"/>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val="0"/>
          <w:kern w:val="2"/>
          <w:sz w:val="21"/>
          <w:szCs w:val="24"/>
          <w:lang w:val="en-US" w:eastAsia="zh-CN" w:bidi="ar-SA"/>
        </w:rPr>
      </w:pP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HYPERLINK \l _Toc23252 </w:instrText>
      </w:r>
      <w:r>
        <w:rPr>
          <w:rFonts w:hint="eastAsia" w:ascii="宋体" w:hAnsi="宋体" w:eastAsia="宋体" w:cs="宋体"/>
          <w:bCs w:val="0"/>
          <w:kern w:val="2"/>
          <w:sz w:val="21"/>
          <w:szCs w:val="24"/>
          <w:lang w:val="en-US" w:eastAsia="zh-CN" w:bidi="ar-SA"/>
        </w:rPr>
        <w:fldChar w:fldCharType="separate"/>
      </w:r>
      <w:r>
        <w:rPr>
          <w:rFonts w:hint="default" w:ascii="宋体" w:hAnsi="宋体" w:eastAsia="宋体" w:cs="宋体"/>
          <w:bCs w:val="0"/>
          <w:kern w:val="2"/>
          <w:sz w:val="21"/>
          <w:szCs w:val="24"/>
          <w:lang w:val="en-US" w:eastAsia="zh-CN" w:bidi="ar-SA"/>
        </w:rPr>
        <w:t xml:space="preserve">7. </w:t>
      </w:r>
      <w:r>
        <w:rPr>
          <w:rFonts w:hint="eastAsia" w:ascii="宋体" w:hAnsi="宋体" w:eastAsia="宋体" w:cs="宋体"/>
          <w:bCs w:val="0"/>
          <w:kern w:val="2"/>
          <w:sz w:val="21"/>
          <w:szCs w:val="24"/>
          <w:lang w:val="en-US" w:eastAsia="zh-CN" w:bidi="ar-SA"/>
        </w:rPr>
        <w:t>对车船按气缸排量和用途分类等征收车船税</w:t>
      </w:r>
      <w:r>
        <w:rPr>
          <w:rFonts w:hint="eastAsia" w:ascii="宋体" w:hAnsi="宋体" w:eastAsia="宋体" w:cs="宋体"/>
          <w:bCs w:val="0"/>
          <w:kern w:val="2"/>
          <w:sz w:val="21"/>
          <w:szCs w:val="24"/>
          <w:lang w:val="en-US" w:eastAsia="zh-CN" w:bidi="ar-SA"/>
        </w:rPr>
        <w:tab/>
      </w: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PAGEREF _Toc23252 \h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Cs w:val="0"/>
          <w:kern w:val="2"/>
          <w:sz w:val="21"/>
          <w:szCs w:val="24"/>
          <w:lang w:val="en-US" w:eastAsia="zh-CN" w:bidi="ar-SA"/>
        </w:rPr>
        <w:t>21</w:t>
      </w:r>
      <w:r>
        <w:rPr>
          <w:rFonts w:hint="eastAsia" w:ascii="宋体" w:hAnsi="宋体" w:eastAsia="宋体" w:cs="宋体"/>
          <w:bCs w:val="0"/>
          <w:kern w:val="2"/>
          <w:sz w:val="21"/>
          <w:szCs w:val="24"/>
          <w:lang w:val="en-US" w:eastAsia="zh-CN" w:bidi="ar-SA"/>
        </w:rPr>
        <w:fldChar w:fldCharType="end"/>
      </w:r>
      <w:r>
        <w:rPr>
          <w:rFonts w:hint="eastAsia" w:ascii="宋体" w:hAnsi="宋体" w:eastAsia="宋体" w:cs="宋体"/>
          <w:bCs w:val="0"/>
          <w:kern w:val="2"/>
          <w:sz w:val="21"/>
          <w:szCs w:val="24"/>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Cs w:val="0"/>
          <w:kern w:val="2"/>
          <w:sz w:val="21"/>
          <w:szCs w:val="24"/>
          <w:lang w:val="en-US" w:eastAsia="zh-CN" w:bidi="ar-SA"/>
        </w:rPr>
      </w:pP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HYPERLINK \l _Toc30015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
          <w:bCs/>
          <w:kern w:val="2"/>
          <w:sz w:val="21"/>
          <w:szCs w:val="24"/>
          <w:lang w:val="en-US" w:eastAsia="zh-CN" w:bidi="ar-SA"/>
        </w:rPr>
        <w:t>第四部分 环境保护税</w:t>
      </w:r>
      <w:r>
        <w:rPr>
          <w:rFonts w:hint="eastAsia" w:ascii="宋体" w:hAnsi="宋体" w:eastAsia="宋体" w:cs="宋体"/>
          <w:bCs w:val="0"/>
          <w:kern w:val="2"/>
          <w:sz w:val="21"/>
          <w:szCs w:val="24"/>
          <w:lang w:val="en-US" w:eastAsia="zh-CN" w:bidi="ar-SA"/>
        </w:rPr>
        <w:tab/>
      </w: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PAGEREF _Toc30015 \h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Cs w:val="0"/>
          <w:kern w:val="2"/>
          <w:sz w:val="21"/>
          <w:szCs w:val="24"/>
          <w:lang w:val="en-US" w:eastAsia="zh-CN" w:bidi="ar-SA"/>
        </w:rPr>
        <w:t>23</w:t>
      </w:r>
      <w:r>
        <w:rPr>
          <w:rFonts w:hint="eastAsia" w:ascii="宋体" w:hAnsi="宋体" w:eastAsia="宋体" w:cs="宋体"/>
          <w:bCs w:val="0"/>
          <w:kern w:val="2"/>
          <w:sz w:val="21"/>
          <w:szCs w:val="24"/>
          <w:lang w:val="en-US" w:eastAsia="zh-CN" w:bidi="ar-SA"/>
        </w:rPr>
        <w:fldChar w:fldCharType="end"/>
      </w:r>
      <w:r>
        <w:rPr>
          <w:rFonts w:hint="eastAsia" w:ascii="宋体" w:hAnsi="宋体" w:eastAsia="宋体" w:cs="宋体"/>
          <w:bCs w:val="0"/>
          <w:kern w:val="2"/>
          <w:sz w:val="21"/>
          <w:szCs w:val="24"/>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val="0"/>
          <w:kern w:val="2"/>
          <w:sz w:val="21"/>
          <w:szCs w:val="24"/>
          <w:lang w:val="en-US" w:eastAsia="zh-CN" w:bidi="ar-SA"/>
        </w:rPr>
      </w:pP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HYPERLINK \l _Toc13621 </w:instrText>
      </w:r>
      <w:r>
        <w:rPr>
          <w:rFonts w:hint="eastAsia" w:ascii="宋体" w:hAnsi="宋体" w:eastAsia="宋体" w:cs="宋体"/>
          <w:bCs w:val="0"/>
          <w:kern w:val="2"/>
          <w:sz w:val="21"/>
          <w:szCs w:val="24"/>
          <w:lang w:val="en-US" w:eastAsia="zh-CN" w:bidi="ar-SA"/>
        </w:rPr>
        <w:fldChar w:fldCharType="separate"/>
      </w:r>
      <w:r>
        <w:rPr>
          <w:rFonts w:hint="default" w:ascii="宋体" w:hAnsi="宋体" w:eastAsia="宋体" w:cs="宋体"/>
          <w:bCs w:val="0"/>
          <w:kern w:val="2"/>
          <w:sz w:val="21"/>
          <w:szCs w:val="24"/>
          <w:lang w:val="en-US" w:eastAsia="zh-CN" w:bidi="ar-SA"/>
        </w:rPr>
        <w:t xml:space="preserve">8. </w:t>
      </w:r>
      <w:r>
        <w:rPr>
          <w:rFonts w:hint="eastAsia" w:ascii="宋体" w:hAnsi="宋体" w:eastAsia="宋体" w:cs="宋体"/>
          <w:bCs w:val="0"/>
          <w:kern w:val="2"/>
          <w:sz w:val="21"/>
          <w:szCs w:val="24"/>
          <w:lang w:val="en-US" w:eastAsia="zh-CN" w:bidi="ar-SA"/>
        </w:rPr>
        <w:t>“多排多征、少排少征、不排不征”的征收机制</w:t>
      </w:r>
      <w:r>
        <w:rPr>
          <w:rFonts w:hint="eastAsia" w:ascii="宋体" w:hAnsi="宋体" w:eastAsia="宋体" w:cs="宋体"/>
          <w:bCs w:val="0"/>
          <w:kern w:val="2"/>
          <w:sz w:val="21"/>
          <w:szCs w:val="24"/>
          <w:lang w:val="en-US" w:eastAsia="zh-CN" w:bidi="ar-SA"/>
        </w:rPr>
        <w:tab/>
      </w: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PAGEREF _Toc13621 \h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Cs w:val="0"/>
          <w:kern w:val="2"/>
          <w:sz w:val="21"/>
          <w:szCs w:val="24"/>
          <w:lang w:val="en-US" w:eastAsia="zh-CN" w:bidi="ar-SA"/>
        </w:rPr>
        <w:t>23</w:t>
      </w:r>
      <w:r>
        <w:rPr>
          <w:rFonts w:hint="eastAsia" w:ascii="宋体" w:hAnsi="宋体" w:eastAsia="宋体" w:cs="宋体"/>
          <w:bCs w:val="0"/>
          <w:kern w:val="2"/>
          <w:sz w:val="21"/>
          <w:szCs w:val="24"/>
          <w:lang w:val="en-US" w:eastAsia="zh-CN" w:bidi="ar-SA"/>
        </w:rPr>
        <w:fldChar w:fldCharType="end"/>
      </w:r>
      <w:r>
        <w:rPr>
          <w:rFonts w:hint="eastAsia" w:ascii="宋体" w:hAnsi="宋体" w:eastAsia="宋体" w:cs="宋体"/>
          <w:bCs w:val="0"/>
          <w:kern w:val="2"/>
          <w:sz w:val="21"/>
          <w:szCs w:val="24"/>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val="0"/>
          <w:kern w:val="2"/>
          <w:sz w:val="21"/>
          <w:szCs w:val="24"/>
          <w:lang w:val="en-US" w:eastAsia="zh-CN" w:bidi="ar-SA"/>
        </w:rPr>
      </w:pP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HYPERLINK \l _Toc5502 </w:instrText>
      </w:r>
      <w:r>
        <w:rPr>
          <w:rFonts w:hint="eastAsia" w:ascii="宋体" w:hAnsi="宋体" w:eastAsia="宋体" w:cs="宋体"/>
          <w:bCs w:val="0"/>
          <w:kern w:val="2"/>
          <w:sz w:val="21"/>
          <w:szCs w:val="24"/>
          <w:lang w:val="en-US" w:eastAsia="zh-CN" w:bidi="ar-SA"/>
        </w:rPr>
        <w:fldChar w:fldCharType="separate"/>
      </w:r>
      <w:r>
        <w:rPr>
          <w:rFonts w:hint="default" w:ascii="宋体" w:hAnsi="宋体" w:eastAsia="宋体" w:cs="宋体"/>
          <w:bCs w:val="0"/>
          <w:kern w:val="2"/>
          <w:sz w:val="21"/>
          <w:szCs w:val="24"/>
          <w:lang w:val="en-US" w:eastAsia="zh-CN" w:bidi="ar-SA"/>
        </w:rPr>
        <w:t xml:space="preserve">9. </w:t>
      </w:r>
      <w:r>
        <w:rPr>
          <w:rFonts w:hint="eastAsia" w:ascii="宋体" w:hAnsi="宋体" w:eastAsia="宋体" w:cs="宋体"/>
          <w:bCs w:val="0"/>
          <w:kern w:val="2"/>
          <w:sz w:val="21"/>
          <w:szCs w:val="24"/>
          <w:lang w:val="en-US" w:eastAsia="zh-CN" w:bidi="ar-SA"/>
        </w:rPr>
        <w:t>对企事业单位向符合条件的场所排放符合标准的污染物不征收环境保护税</w:t>
      </w:r>
      <w:r>
        <w:rPr>
          <w:rFonts w:hint="eastAsia" w:ascii="宋体" w:hAnsi="宋体" w:eastAsia="宋体" w:cs="宋体"/>
          <w:bCs w:val="0"/>
          <w:kern w:val="2"/>
          <w:sz w:val="21"/>
          <w:szCs w:val="24"/>
          <w:lang w:val="en-US" w:eastAsia="zh-CN" w:bidi="ar-SA"/>
        </w:rPr>
        <w:tab/>
      </w: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PAGEREF _Toc5502 \h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Cs w:val="0"/>
          <w:kern w:val="2"/>
          <w:sz w:val="21"/>
          <w:szCs w:val="24"/>
          <w:lang w:val="en-US" w:eastAsia="zh-CN" w:bidi="ar-SA"/>
        </w:rPr>
        <w:t>32</w:t>
      </w:r>
      <w:r>
        <w:rPr>
          <w:rFonts w:hint="eastAsia" w:ascii="宋体" w:hAnsi="宋体" w:eastAsia="宋体" w:cs="宋体"/>
          <w:bCs w:val="0"/>
          <w:kern w:val="2"/>
          <w:sz w:val="21"/>
          <w:szCs w:val="24"/>
          <w:lang w:val="en-US" w:eastAsia="zh-CN" w:bidi="ar-SA"/>
        </w:rPr>
        <w:fldChar w:fldCharType="end"/>
      </w:r>
      <w:r>
        <w:rPr>
          <w:rFonts w:hint="eastAsia" w:ascii="宋体" w:hAnsi="宋体" w:eastAsia="宋体" w:cs="宋体"/>
          <w:bCs w:val="0"/>
          <w:kern w:val="2"/>
          <w:sz w:val="21"/>
          <w:szCs w:val="24"/>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Cs w:val="0"/>
          <w:kern w:val="2"/>
          <w:sz w:val="21"/>
          <w:szCs w:val="24"/>
          <w:lang w:val="en-US" w:eastAsia="zh-CN" w:bidi="ar-SA"/>
        </w:rPr>
      </w:pP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HYPERLINK \l _Toc25383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
          <w:bCs/>
          <w:kern w:val="2"/>
          <w:sz w:val="21"/>
          <w:szCs w:val="24"/>
          <w:lang w:val="en-US" w:eastAsia="zh-CN" w:bidi="ar-SA"/>
        </w:rPr>
        <w:t>第五部分 耕地占用税</w:t>
      </w:r>
      <w:r>
        <w:rPr>
          <w:rFonts w:hint="eastAsia" w:ascii="宋体" w:hAnsi="宋体" w:eastAsia="宋体" w:cs="宋体"/>
          <w:bCs w:val="0"/>
          <w:kern w:val="2"/>
          <w:sz w:val="21"/>
          <w:szCs w:val="24"/>
          <w:lang w:val="en-US" w:eastAsia="zh-CN" w:bidi="ar-SA"/>
        </w:rPr>
        <w:tab/>
      </w: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PAGEREF _Toc25383 \h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Cs w:val="0"/>
          <w:kern w:val="2"/>
          <w:sz w:val="21"/>
          <w:szCs w:val="24"/>
          <w:lang w:val="en-US" w:eastAsia="zh-CN" w:bidi="ar-SA"/>
        </w:rPr>
        <w:t>32</w:t>
      </w:r>
      <w:r>
        <w:rPr>
          <w:rFonts w:hint="eastAsia" w:ascii="宋体" w:hAnsi="宋体" w:eastAsia="宋体" w:cs="宋体"/>
          <w:bCs w:val="0"/>
          <w:kern w:val="2"/>
          <w:sz w:val="21"/>
          <w:szCs w:val="24"/>
          <w:lang w:val="en-US" w:eastAsia="zh-CN" w:bidi="ar-SA"/>
        </w:rPr>
        <w:fldChar w:fldCharType="end"/>
      </w:r>
      <w:r>
        <w:rPr>
          <w:rFonts w:hint="eastAsia" w:ascii="宋体" w:hAnsi="宋体" w:eastAsia="宋体" w:cs="宋体"/>
          <w:bCs w:val="0"/>
          <w:kern w:val="2"/>
          <w:sz w:val="21"/>
          <w:szCs w:val="24"/>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val="0"/>
          <w:kern w:val="2"/>
          <w:sz w:val="21"/>
          <w:szCs w:val="24"/>
          <w:lang w:val="en-US" w:eastAsia="zh-CN" w:bidi="ar-SA"/>
        </w:rPr>
      </w:pP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HYPERLINK \l _Toc20704 </w:instrText>
      </w:r>
      <w:r>
        <w:rPr>
          <w:rFonts w:hint="eastAsia" w:ascii="宋体" w:hAnsi="宋体" w:eastAsia="宋体" w:cs="宋体"/>
          <w:bCs w:val="0"/>
          <w:kern w:val="2"/>
          <w:sz w:val="21"/>
          <w:szCs w:val="24"/>
          <w:lang w:val="en-US" w:eastAsia="zh-CN" w:bidi="ar-SA"/>
        </w:rPr>
        <w:fldChar w:fldCharType="separate"/>
      </w:r>
      <w:r>
        <w:rPr>
          <w:rFonts w:hint="default" w:ascii="宋体" w:hAnsi="宋体" w:eastAsia="宋体" w:cs="宋体"/>
          <w:bCs w:val="0"/>
          <w:kern w:val="2"/>
          <w:sz w:val="21"/>
          <w:szCs w:val="24"/>
          <w:lang w:val="en-US" w:eastAsia="zh-CN" w:bidi="ar-SA"/>
        </w:rPr>
        <w:t xml:space="preserve">10. </w:t>
      </w:r>
      <w:r>
        <w:rPr>
          <w:rFonts w:hint="eastAsia" w:ascii="宋体" w:hAnsi="宋体" w:eastAsia="宋体" w:cs="宋体"/>
          <w:bCs w:val="0"/>
          <w:kern w:val="2"/>
          <w:sz w:val="21"/>
          <w:szCs w:val="24"/>
          <w:lang w:val="en-US" w:eastAsia="zh-CN" w:bidi="ar-SA"/>
        </w:rPr>
        <w:t>对将耕地资源用于非农业建设的单位和个人按差别定额税率征收耕地占用税</w:t>
      </w:r>
      <w:r>
        <w:rPr>
          <w:rFonts w:hint="eastAsia" w:ascii="宋体" w:hAnsi="宋体" w:eastAsia="宋体" w:cs="宋体"/>
          <w:bCs w:val="0"/>
          <w:kern w:val="2"/>
          <w:sz w:val="21"/>
          <w:szCs w:val="24"/>
          <w:lang w:val="en-US" w:eastAsia="zh-CN" w:bidi="ar-SA"/>
        </w:rPr>
        <w:tab/>
      </w: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PAGEREF _Toc20704 \h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Cs w:val="0"/>
          <w:kern w:val="2"/>
          <w:sz w:val="21"/>
          <w:szCs w:val="24"/>
          <w:lang w:val="en-US" w:eastAsia="zh-CN" w:bidi="ar-SA"/>
        </w:rPr>
        <w:t>32</w:t>
      </w:r>
      <w:r>
        <w:rPr>
          <w:rFonts w:hint="eastAsia" w:ascii="宋体" w:hAnsi="宋体" w:eastAsia="宋体" w:cs="宋体"/>
          <w:bCs w:val="0"/>
          <w:kern w:val="2"/>
          <w:sz w:val="21"/>
          <w:szCs w:val="24"/>
          <w:lang w:val="en-US" w:eastAsia="zh-CN" w:bidi="ar-SA"/>
        </w:rPr>
        <w:fldChar w:fldCharType="end"/>
      </w:r>
      <w:r>
        <w:rPr>
          <w:rFonts w:hint="eastAsia" w:ascii="宋体" w:hAnsi="宋体" w:eastAsia="宋体" w:cs="宋体"/>
          <w:bCs w:val="0"/>
          <w:kern w:val="2"/>
          <w:sz w:val="21"/>
          <w:szCs w:val="24"/>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val="0"/>
          <w:kern w:val="2"/>
          <w:sz w:val="21"/>
          <w:szCs w:val="24"/>
          <w:lang w:val="en-US" w:eastAsia="zh-CN" w:bidi="ar-SA"/>
        </w:rPr>
      </w:pP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HYPERLINK \l _Toc5381 </w:instrText>
      </w:r>
      <w:r>
        <w:rPr>
          <w:rFonts w:hint="eastAsia" w:ascii="宋体" w:hAnsi="宋体" w:eastAsia="宋体" w:cs="宋体"/>
          <w:bCs w:val="0"/>
          <w:kern w:val="2"/>
          <w:sz w:val="21"/>
          <w:szCs w:val="24"/>
          <w:lang w:val="en-US" w:eastAsia="zh-CN" w:bidi="ar-SA"/>
        </w:rPr>
        <w:fldChar w:fldCharType="separate"/>
      </w:r>
      <w:r>
        <w:rPr>
          <w:rFonts w:hint="default" w:ascii="宋体" w:hAnsi="宋体" w:eastAsia="宋体" w:cs="宋体"/>
          <w:bCs w:val="0"/>
          <w:kern w:val="2"/>
          <w:sz w:val="21"/>
          <w:szCs w:val="24"/>
          <w:lang w:val="en-US" w:eastAsia="zh-CN" w:bidi="ar-SA"/>
        </w:rPr>
        <w:t xml:space="preserve">11. </w:t>
      </w:r>
      <w:r>
        <w:rPr>
          <w:rFonts w:hint="eastAsia" w:ascii="宋体" w:hAnsi="宋体" w:eastAsia="宋体" w:cs="宋体"/>
          <w:bCs w:val="0"/>
          <w:kern w:val="2"/>
          <w:sz w:val="21"/>
          <w:szCs w:val="24"/>
          <w:lang w:val="en-US" w:eastAsia="zh-CN" w:bidi="ar-SA"/>
        </w:rPr>
        <w:t>占用基本农田的按照我省适用税额征收耕地占用税</w:t>
      </w:r>
      <w:r>
        <w:rPr>
          <w:rFonts w:hint="eastAsia" w:ascii="宋体" w:hAnsi="宋体" w:eastAsia="宋体" w:cs="宋体"/>
          <w:bCs w:val="0"/>
          <w:kern w:val="2"/>
          <w:sz w:val="21"/>
          <w:szCs w:val="24"/>
          <w:lang w:val="en-US" w:eastAsia="zh-CN" w:bidi="ar-SA"/>
        </w:rPr>
        <w:tab/>
      </w: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PAGEREF _Toc5381 \h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Cs w:val="0"/>
          <w:kern w:val="2"/>
          <w:sz w:val="21"/>
          <w:szCs w:val="24"/>
          <w:lang w:val="en-US" w:eastAsia="zh-CN" w:bidi="ar-SA"/>
        </w:rPr>
        <w:t>33</w:t>
      </w:r>
      <w:r>
        <w:rPr>
          <w:rFonts w:hint="eastAsia" w:ascii="宋体" w:hAnsi="宋体" w:eastAsia="宋体" w:cs="宋体"/>
          <w:bCs w:val="0"/>
          <w:kern w:val="2"/>
          <w:sz w:val="21"/>
          <w:szCs w:val="24"/>
          <w:lang w:val="en-US" w:eastAsia="zh-CN" w:bidi="ar-SA"/>
        </w:rPr>
        <w:fldChar w:fldCharType="end"/>
      </w:r>
      <w:r>
        <w:rPr>
          <w:rFonts w:hint="eastAsia" w:ascii="宋体" w:hAnsi="宋体" w:eastAsia="宋体" w:cs="宋体"/>
          <w:bCs w:val="0"/>
          <w:kern w:val="2"/>
          <w:sz w:val="21"/>
          <w:szCs w:val="24"/>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val="0"/>
          <w:kern w:val="2"/>
          <w:sz w:val="21"/>
          <w:szCs w:val="24"/>
          <w:lang w:val="en-US" w:eastAsia="zh-CN" w:bidi="ar-SA"/>
        </w:rPr>
      </w:pP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HYPERLINK \l _Toc11353 </w:instrText>
      </w:r>
      <w:r>
        <w:rPr>
          <w:rFonts w:hint="eastAsia" w:ascii="宋体" w:hAnsi="宋体" w:eastAsia="宋体" w:cs="宋体"/>
          <w:bCs w:val="0"/>
          <w:kern w:val="2"/>
          <w:sz w:val="21"/>
          <w:szCs w:val="24"/>
          <w:lang w:val="en-US" w:eastAsia="zh-CN" w:bidi="ar-SA"/>
        </w:rPr>
        <w:fldChar w:fldCharType="separate"/>
      </w:r>
      <w:r>
        <w:rPr>
          <w:rFonts w:hint="default" w:ascii="宋体" w:hAnsi="宋体" w:eastAsia="宋体" w:cs="宋体"/>
          <w:bCs w:val="0"/>
          <w:kern w:val="2"/>
          <w:sz w:val="21"/>
          <w:szCs w:val="24"/>
          <w:lang w:val="en-US" w:eastAsia="zh-CN" w:bidi="ar-SA"/>
        </w:rPr>
        <w:t xml:space="preserve">12. </w:t>
      </w:r>
      <w:r>
        <w:rPr>
          <w:rFonts w:hint="eastAsia" w:ascii="宋体" w:hAnsi="宋体" w:eastAsia="宋体" w:cs="宋体"/>
          <w:bCs w:val="0"/>
          <w:kern w:val="2"/>
          <w:sz w:val="21"/>
          <w:szCs w:val="24"/>
          <w:lang w:val="en-US" w:eastAsia="zh-CN" w:bidi="ar-SA"/>
        </w:rPr>
        <w:t>占用农用地从事非农业建设的，按我省适用税额征收耕地占用税</w:t>
      </w:r>
      <w:r>
        <w:rPr>
          <w:rFonts w:hint="eastAsia" w:ascii="宋体" w:hAnsi="宋体" w:eastAsia="宋体" w:cs="宋体"/>
          <w:bCs w:val="0"/>
          <w:kern w:val="2"/>
          <w:sz w:val="21"/>
          <w:szCs w:val="24"/>
          <w:lang w:val="en-US" w:eastAsia="zh-CN" w:bidi="ar-SA"/>
        </w:rPr>
        <w:tab/>
      </w: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PAGEREF _Toc11353 \h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Cs w:val="0"/>
          <w:kern w:val="2"/>
          <w:sz w:val="21"/>
          <w:szCs w:val="24"/>
          <w:lang w:val="en-US" w:eastAsia="zh-CN" w:bidi="ar-SA"/>
        </w:rPr>
        <w:t>36</w:t>
      </w:r>
      <w:r>
        <w:rPr>
          <w:rFonts w:hint="eastAsia" w:ascii="宋体" w:hAnsi="宋体" w:eastAsia="宋体" w:cs="宋体"/>
          <w:bCs w:val="0"/>
          <w:kern w:val="2"/>
          <w:sz w:val="21"/>
          <w:szCs w:val="24"/>
          <w:lang w:val="en-US" w:eastAsia="zh-CN" w:bidi="ar-SA"/>
        </w:rPr>
        <w:fldChar w:fldCharType="end"/>
      </w:r>
      <w:r>
        <w:rPr>
          <w:rFonts w:hint="eastAsia" w:ascii="宋体" w:hAnsi="宋体" w:eastAsia="宋体" w:cs="宋体"/>
          <w:bCs w:val="0"/>
          <w:kern w:val="2"/>
          <w:sz w:val="21"/>
          <w:szCs w:val="24"/>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Cs w:val="0"/>
          <w:kern w:val="2"/>
          <w:sz w:val="21"/>
          <w:szCs w:val="24"/>
          <w:lang w:val="en-US" w:eastAsia="zh-CN" w:bidi="ar-SA"/>
        </w:rPr>
      </w:pP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HYPERLINK \l _Toc22533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
          <w:bCs/>
          <w:kern w:val="2"/>
          <w:sz w:val="21"/>
          <w:szCs w:val="24"/>
          <w:lang w:val="en-US" w:eastAsia="zh-CN" w:bidi="ar-SA"/>
        </w:rPr>
        <w:t>第六部分 非税收入</w:t>
      </w:r>
      <w:r>
        <w:rPr>
          <w:rFonts w:hint="eastAsia" w:ascii="宋体" w:hAnsi="宋体" w:eastAsia="宋体" w:cs="宋体"/>
          <w:bCs w:val="0"/>
          <w:kern w:val="2"/>
          <w:sz w:val="21"/>
          <w:szCs w:val="24"/>
          <w:lang w:val="en-US" w:eastAsia="zh-CN" w:bidi="ar-SA"/>
        </w:rPr>
        <w:tab/>
      </w: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PAGEREF _Toc22533 \h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Cs w:val="0"/>
          <w:kern w:val="2"/>
          <w:sz w:val="21"/>
          <w:szCs w:val="24"/>
          <w:lang w:val="en-US" w:eastAsia="zh-CN" w:bidi="ar-SA"/>
        </w:rPr>
        <w:t>37</w:t>
      </w:r>
      <w:r>
        <w:rPr>
          <w:rFonts w:hint="eastAsia" w:ascii="宋体" w:hAnsi="宋体" w:eastAsia="宋体" w:cs="宋体"/>
          <w:bCs w:val="0"/>
          <w:kern w:val="2"/>
          <w:sz w:val="21"/>
          <w:szCs w:val="24"/>
          <w:lang w:val="en-US" w:eastAsia="zh-CN" w:bidi="ar-SA"/>
        </w:rPr>
        <w:fldChar w:fldCharType="end"/>
      </w:r>
      <w:r>
        <w:rPr>
          <w:rFonts w:hint="eastAsia" w:ascii="宋体" w:hAnsi="宋体" w:eastAsia="宋体" w:cs="宋体"/>
          <w:bCs w:val="0"/>
          <w:kern w:val="2"/>
          <w:sz w:val="21"/>
          <w:szCs w:val="24"/>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val="0"/>
          <w:kern w:val="2"/>
          <w:sz w:val="21"/>
          <w:szCs w:val="24"/>
          <w:lang w:val="en-US" w:eastAsia="zh-CN" w:bidi="ar-SA"/>
        </w:rPr>
      </w:pP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HYPERLINK \l _Toc26937 </w:instrText>
      </w:r>
      <w:r>
        <w:rPr>
          <w:rFonts w:hint="eastAsia" w:ascii="宋体" w:hAnsi="宋体" w:eastAsia="宋体" w:cs="宋体"/>
          <w:bCs w:val="0"/>
          <w:kern w:val="2"/>
          <w:sz w:val="21"/>
          <w:szCs w:val="24"/>
          <w:lang w:val="en-US" w:eastAsia="zh-CN" w:bidi="ar-SA"/>
        </w:rPr>
        <w:fldChar w:fldCharType="separate"/>
      </w:r>
      <w:r>
        <w:rPr>
          <w:rFonts w:hint="default" w:ascii="宋体" w:hAnsi="宋体" w:eastAsia="宋体" w:cs="宋体"/>
          <w:bCs w:val="0"/>
          <w:kern w:val="2"/>
          <w:sz w:val="21"/>
          <w:szCs w:val="24"/>
          <w:lang w:val="en-US" w:eastAsia="zh-CN" w:bidi="ar-SA"/>
        </w:rPr>
        <w:t xml:space="preserve">13. </w:t>
      </w:r>
      <w:r>
        <w:rPr>
          <w:rFonts w:hint="eastAsia" w:ascii="宋体" w:hAnsi="宋体" w:eastAsia="宋体" w:cs="宋体"/>
          <w:bCs w:val="0"/>
          <w:kern w:val="2"/>
          <w:sz w:val="21"/>
          <w:szCs w:val="24"/>
          <w:lang w:val="en-US" w:eastAsia="zh-CN" w:bidi="ar-SA"/>
        </w:rPr>
        <w:t>对取得排污权的单位及个人征收排污权使用费</w:t>
      </w:r>
      <w:r>
        <w:rPr>
          <w:rFonts w:hint="eastAsia" w:ascii="宋体" w:hAnsi="宋体" w:eastAsia="宋体" w:cs="宋体"/>
          <w:bCs w:val="0"/>
          <w:kern w:val="2"/>
          <w:sz w:val="21"/>
          <w:szCs w:val="24"/>
          <w:lang w:val="en-US" w:eastAsia="zh-CN" w:bidi="ar-SA"/>
        </w:rPr>
        <w:tab/>
      </w: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PAGEREF _Toc26937 \h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Cs w:val="0"/>
          <w:kern w:val="2"/>
          <w:sz w:val="21"/>
          <w:szCs w:val="24"/>
          <w:lang w:val="en-US" w:eastAsia="zh-CN" w:bidi="ar-SA"/>
        </w:rPr>
        <w:t>37</w:t>
      </w:r>
      <w:r>
        <w:rPr>
          <w:rFonts w:hint="eastAsia" w:ascii="宋体" w:hAnsi="宋体" w:eastAsia="宋体" w:cs="宋体"/>
          <w:bCs w:val="0"/>
          <w:kern w:val="2"/>
          <w:sz w:val="21"/>
          <w:szCs w:val="24"/>
          <w:lang w:val="en-US" w:eastAsia="zh-CN" w:bidi="ar-SA"/>
        </w:rPr>
        <w:fldChar w:fldCharType="end"/>
      </w:r>
      <w:r>
        <w:rPr>
          <w:rFonts w:hint="eastAsia" w:ascii="宋体" w:hAnsi="宋体" w:eastAsia="宋体" w:cs="宋体"/>
          <w:bCs w:val="0"/>
          <w:kern w:val="2"/>
          <w:sz w:val="21"/>
          <w:szCs w:val="24"/>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val="0"/>
          <w:kern w:val="2"/>
          <w:sz w:val="21"/>
          <w:szCs w:val="24"/>
          <w:lang w:val="en-US" w:eastAsia="zh-CN" w:bidi="ar-SA"/>
        </w:rPr>
      </w:pP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HYPERLINK \l _Toc32106 </w:instrText>
      </w:r>
      <w:r>
        <w:rPr>
          <w:rFonts w:hint="eastAsia" w:ascii="宋体" w:hAnsi="宋体" w:eastAsia="宋体" w:cs="宋体"/>
          <w:bCs w:val="0"/>
          <w:kern w:val="2"/>
          <w:sz w:val="21"/>
          <w:szCs w:val="24"/>
          <w:lang w:val="en-US" w:eastAsia="zh-CN" w:bidi="ar-SA"/>
        </w:rPr>
        <w:fldChar w:fldCharType="separate"/>
      </w:r>
      <w:r>
        <w:rPr>
          <w:rFonts w:hint="default" w:ascii="宋体" w:hAnsi="宋体" w:eastAsia="宋体" w:cs="宋体"/>
          <w:bCs w:val="0"/>
          <w:kern w:val="2"/>
          <w:sz w:val="21"/>
          <w:szCs w:val="24"/>
          <w:lang w:val="en-US" w:eastAsia="zh-CN" w:bidi="ar-SA"/>
        </w:rPr>
        <w:t xml:space="preserve">14. </w:t>
      </w:r>
      <w:r>
        <w:rPr>
          <w:rFonts w:hint="eastAsia" w:ascii="宋体" w:hAnsi="宋体" w:eastAsia="宋体" w:cs="宋体"/>
          <w:bCs w:val="0"/>
          <w:kern w:val="2"/>
          <w:sz w:val="21"/>
          <w:szCs w:val="24"/>
          <w:lang w:val="en-US" w:eastAsia="zh-CN" w:bidi="ar-SA"/>
        </w:rPr>
        <w:t>对符合条件的销售电量征收可再生能源发展基金</w:t>
      </w:r>
      <w:r>
        <w:rPr>
          <w:rFonts w:hint="eastAsia" w:ascii="宋体" w:hAnsi="宋体" w:eastAsia="宋体" w:cs="宋体"/>
          <w:bCs w:val="0"/>
          <w:kern w:val="2"/>
          <w:sz w:val="21"/>
          <w:szCs w:val="24"/>
          <w:lang w:val="en-US" w:eastAsia="zh-CN" w:bidi="ar-SA"/>
        </w:rPr>
        <w:tab/>
      </w: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PAGEREF _Toc32106 \h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Cs w:val="0"/>
          <w:kern w:val="2"/>
          <w:sz w:val="21"/>
          <w:szCs w:val="24"/>
          <w:lang w:val="en-US" w:eastAsia="zh-CN" w:bidi="ar-SA"/>
        </w:rPr>
        <w:t>38</w:t>
      </w:r>
      <w:r>
        <w:rPr>
          <w:rFonts w:hint="eastAsia" w:ascii="宋体" w:hAnsi="宋体" w:eastAsia="宋体" w:cs="宋体"/>
          <w:bCs w:val="0"/>
          <w:kern w:val="2"/>
          <w:sz w:val="21"/>
          <w:szCs w:val="24"/>
          <w:lang w:val="en-US" w:eastAsia="zh-CN" w:bidi="ar-SA"/>
        </w:rPr>
        <w:fldChar w:fldCharType="end"/>
      </w:r>
      <w:r>
        <w:rPr>
          <w:rFonts w:hint="eastAsia" w:ascii="宋体" w:hAnsi="宋体" w:eastAsia="宋体" w:cs="宋体"/>
          <w:bCs w:val="0"/>
          <w:kern w:val="2"/>
          <w:sz w:val="21"/>
          <w:szCs w:val="24"/>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val="0"/>
          <w:kern w:val="2"/>
          <w:sz w:val="21"/>
          <w:szCs w:val="24"/>
          <w:lang w:val="en-US" w:eastAsia="zh-CN" w:bidi="ar-SA"/>
        </w:rPr>
      </w:pP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HYPERLINK \l _Toc7199 </w:instrText>
      </w:r>
      <w:r>
        <w:rPr>
          <w:rFonts w:hint="eastAsia" w:ascii="宋体" w:hAnsi="宋体" w:eastAsia="宋体" w:cs="宋体"/>
          <w:bCs w:val="0"/>
          <w:kern w:val="2"/>
          <w:sz w:val="21"/>
          <w:szCs w:val="24"/>
          <w:lang w:val="en-US" w:eastAsia="zh-CN" w:bidi="ar-SA"/>
        </w:rPr>
        <w:fldChar w:fldCharType="separate"/>
      </w:r>
      <w:r>
        <w:rPr>
          <w:rFonts w:hint="default" w:ascii="宋体" w:hAnsi="宋体" w:eastAsia="宋体" w:cs="宋体"/>
          <w:bCs w:val="0"/>
          <w:kern w:val="2"/>
          <w:sz w:val="21"/>
          <w:szCs w:val="24"/>
          <w:lang w:val="en-US" w:eastAsia="zh-CN" w:bidi="ar-SA"/>
        </w:rPr>
        <w:t xml:space="preserve">15. </w:t>
      </w:r>
      <w:r>
        <w:rPr>
          <w:rFonts w:hint="eastAsia" w:ascii="宋体" w:hAnsi="宋体" w:eastAsia="宋体" w:cs="宋体"/>
          <w:bCs w:val="0"/>
          <w:kern w:val="2"/>
          <w:sz w:val="21"/>
          <w:szCs w:val="24"/>
          <w:lang w:val="en-US" w:eastAsia="zh-CN" w:bidi="ar-SA"/>
        </w:rPr>
        <w:t>对损坏水土保持的单位和个人征收水土保持补偿费</w:t>
      </w:r>
      <w:r>
        <w:rPr>
          <w:rFonts w:hint="eastAsia" w:ascii="宋体" w:hAnsi="宋体" w:eastAsia="宋体" w:cs="宋体"/>
          <w:bCs w:val="0"/>
          <w:kern w:val="2"/>
          <w:sz w:val="21"/>
          <w:szCs w:val="24"/>
          <w:lang w:val="en-US" w:eastAsia="zh-CN" w:bidi="ar-SA"/>
        </w:rPr>
        <w:tab/>
      </w:r>
      <w:r>
        <w:rPr>
          <w:rFonts w:hint="eastAsia" w:ascii="宋体" w:hAnsi="宋体" w:eastAsia="宋体" w:cs="宋体"/>
          <w:bCs w:val="0"/>
          <w:kern w:val="2"/>
          <w:sz w:val="21"/>
          <w:szCs w:val="24"/>
          <w:lang w:val="en-US" w:eastAsia="zh-CN" w:bidi="ar-SA"/>
        </w:rPr>
        <w:fldChar w:fldCharType="begin"/>
      </w:r>
      <w:r>
        <w:rPr>
          <w:rFonts w:hint="eastAsia" w:ascii="宋体" w:hAnsi="宋体" w:eastAsia="宋体" w:cs="宋体"/>
          <w:bCs w:val="0"/>
          <w:kern w:val="2"/>
          <w:sz w:val="21"/>
          <w:szCs w:val="24"/>
          <w:lang w:val="en-US" w:eastAsia="zh-CN" w:bidi="ar-SA"/>
        </w:rPr>
        <w:instrText xml:space="preserve"> PAGEREF _Toc7199 \h </w:instrText>
      </w:r>
      <w:r>
        <w:rPr>
          <w:rFonts w:hint="eastAsia" w:ascii="宋体" w:hAnsi="宋体" w:eastAsia="宋体" w:cs="宋体"/>
          <w:bCs w:val="0"/>
          <w:kern w:val="2"/>
          <w:sz w:val="21"/>
          <w:szCs w:val="24"/>
          <w:lang w:val="en-US" w:eastAsia="zh-CN" w:bidi="ar-SA"/>
        </w:rPr>
        <w:fldChar w:fldCharType="separate"/>
      </w:r>
      <w:r>
        <w:rPr>
          <w:rFonts w:hint="eastAsia" w:ascii="宋体" w:hAnsi="宋体" w:eastAsia="宋体" w:cs="宋体"/>
          <w:bCs w:val="0"/>
          <w:kern w:val="2"/>
          <w:sz w:val="21"/>
          <w:szCs w:val="24"/>
          <w:lang w:val="en-US" w:eastAsia="zh-CN" w:bidi="ar-SA"/>
        </w:rPr>
        <w:t>38</w:t>
      </w:r>
      <w:r>
        <w:rPr>
          <w:rFonts w:hint="eastAsia" w:ascii="宋体" w:hAnsi="宋体" w:eastAsia="宋体" w:cs="宋体"/>
          <w:bCs w:val="0"/>
          <w:kern w:val="2"/>
          <w:sz w:val="21"/>
          <w:szCs w:val="24"/>
          <w:lang w:val="en-US" w:eastAsia="zh-CN" w:bidi="ar-SA"/>
        </w:rPr>
        <w:fldChar w:fldCharType="end"/>
      </w:r>
      <w:r>
        <w:rPr>
          <w:rFonts w:hint="eastAsia" w:ascii="宋体" w:hAnsi="宋体" w:eastAsia="宋体" w:cs="宋体"/>
          <w:bCs w:val="0"/>
          <w:kern w:val="2"/>
          <w:sz w:val="21"/>
          <w:szCs w:val="24"/>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val="0"/>
          <w:kern w:val="2"/>
          <w:sz w:val="21"/>
          <w:szCs w:val="24"/>
          <w:lang w:val="en-US" w:eastAsia="zh-CN" w:bidi="ar-SA"/>
        </w:rPr>
      </w:pPr>
      <w:r>
        <w:rPr>
          <w:rFonts w:hint="eastAsia" w:ascii="宋体" w:hAnsi="宋体" w:eastAsia="宋体" w:cs="宋体"/>
          <w:bCs w:val="0"/>
          <w:kern w:val="2"/>
          <w:sz w:val="21"/>
          <w:szCs w:val="24"/>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val="0"/>
          <w:kern w:val="2"/>
          <w:sz w:val="21"/>
          <w:szCs w:val="24"/>
          <w:lang w:val="en-US" w:eastAsia="zh-CN" w:bidi="ar-SA"/>
        </w:rPr>
        <w:sectPr>
          <w:footerReference r:id="rId5" w:type="default"/>
          <w:pgSz w:w="11906" w:h="16838"/>
          <w:pgMar w:top="1440" w:right="1800" w:bottom="1440" w:left="1800" w:header="851" w:footer="992" w:gutter="0"/>
          <w:pgNumType w:fmt="decimal" w:start="1"/>
          <w:cols w:space="720" w:num="1"/>
          <w:docGrid w:type="lines" w:linePitch="312" w:charSpace="0"/>
        </w:sectPr>
      </w:pPr>
    </w:p>
    <w:p>
      <w:pPr>
        <w:pStyle w:val="3"/>
        <w:keepNext w:val="0"/>
        <w:keepLines w:val="0"/>
        <w:pageBreakBefore w:val="0"/>
        <w:widowControl w:val="0"/>
        <w:tabs>
          <w:tab w:val="center" w:pos="4153"/>
        </w:tabs>
        <w:kinsoku/>
        <w:wordWrap/>
        <w:overflowPunct/>
        <w:topLinePunct w:val="0"/>
        <w:autoSpaceDE/>
        <w:autoSpaceDN/>
        <w:bidi w:val="0"/>
        <w:textAlignment w:val="auto"/>
        <w:rPr>
          <w:rFonts w:hint="eastAsia"/>
          <w:lang w:val="en-US" w:eastAsia="zh-CN"/>
        </w:rPr>
      </w:pPr>
      <w:bookmarkStart w:id="6" w:name="_Toc31350"/>
      <w:r>
        <w:rPr>
          <w:rFonts w:hint="eastAsia"/>
          <w:lang w:val="en-US" w:eastAsia="zh-CN"/>
        </w:rPr>
        <w:t>第一部分 消费税</w:t>
      </w:r>
      <w:bookmarkEnd w:id="6"/>
      <w:r>
        <w:rPr>
          <w:rFonts w:hint="eastAsia"/>
          <w:lang w:val="en-US" w:eastAsia="zh-CN"/>
        </w:rPr>
        <w:tab/>
      </w:r>
    </w:p>
    <w:p>
      <w:pPr>
        <w:pStyle w:val="5"/>
        <w:keepNext w:val="0"/>
        <w:keepLines w:val="0"/>
        <w:pageBreakBefore w:val="0"/>
        <w:widowControl w:val="0"/>
        <w:numPr>
          <w:ilvl w:val="0"/>
          <w:numId w:val="1"/>
        </w:numPr>
        <w:kinsoku/>
        <w:wordWrap/>
        <w:overflowPunct/>
        <w:topLinePunct w:val="0"/>
        <w:autoSpaceDE/>
        <w:autoSpaceDN/>
        <w:bidi w:val="0"/>
        <w:adjustRightInd/>
        <w:snapToGrid/>
        <w:spacing w:line="416" w:lineRule="auto"/>
        <w:ind w:left="0" w:leftChars="0" w:firstLine="0" w:firstLineChars="0"/>
        <w:textAlignment w:val="auto"/>
        <w:outlineLvl w:val="1"/>
        <w:rPr>
          <w:rFonts w:hint="eastAsia" w:ascii="宋体" w:hAnsi="宋体" w:eastAsia="宋体" w:cs="宋体"/>
          <w:color w:val="auto"/>
          <w:highlight w:val="none"/>
        </w:rPr>
      </w:pPr>
      <w:bookmarkStart w:id="7" w:name="_Toc28330"/>
      <w:r>
        <w:rPr>
          <w:rFonts w:hint="eastAsia"/>
          <w:color w:val="auto"/>
          <w:highlight w:val="none"/>
        </w:rPr>
        <w:t>对电池征收消费税</w:t>
      </w:r>
      <w:bookmarkEnd w:id="7"/>
    </w:p>
    <w:p>
      <w:pPr>
        <w:pStyle w:val="6"/>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w:t>
      </w:r>
      <w:r>
        <w:rPr>
          <w:rFonts w:hint="eastAsia"/>
          <w:lang w:eastAsia="zh-CN"/>
        </w:rPr>
        <w:t>政策</w:t>
      </w:r>
      <w:r>
        <w:rPr>
          <w:rFonts w:hint="eastAsia"/>
        </w:rPr>
        <w:t>内容】</w:t>
      </w:r>
    </w:p>
    <w:p>
      <w:pPr>
        <w:keepNext w:val="0"/>
        <w:keepLines w:val="0"/>
        <w:pageBreakBefore w:val="0"/>
        <w:widowControl w:val="0"/>
        <w:kinsoku/>
        <w:wordWrap/>
        <w:overflowPunct/>
        <w:topLinePunct w:val="0"/>
        <w:autoSpaceDE/>
        <w:autoSpaceDN/>
        <w:bidi w:val="0"/>
        <w:textAlignment w:val="auto"/>
        <w:rPr>
          <w:rFonts w:hint="eastAsia"/>
        </w:rPr>
      </w:pPr>
      <w:r>
        <w:rPr>
          <w:rFonts w:hint="eastAsia"/>
          <w:lang w:val="en-US" w:eastAsia="zh-CN"/>
        </w:rPr>
        <w:t>1.</w:t>
      </w:r>
      <w:r>
        <w:rPr>
          <w:rFonts w:hint="eastAsia"/>
        </w:rPr>
        <w:t>自2015年2月1日起对电池征收消费税。将电池列入消费税征收范围,在生产、委托加工和进口环节征收,适用税率均为4%。</w:t>
      </w:r>
    </w:p>
    <w:p>
      <w:pPr>
        <w:bidi w:val="0"/>
        <w:rPr>
          <w:rFonts w:hint="eastAsia"/>
        </w:rPr>
      </w:pPr>
      <w:r>
        <w:rPr>
          <w:rFonts w:hint="eastAsia"/>
          <w:lang w:val="en-US" w:eastAsia="zh-CN"/>
        </w:rPr>
        <w:t>2.</w:t>
      </w:r>
      <w:r>
        <w:rPr>
          <w:rFonts w:hint="eastAsia"/>
        </w:rPr>
        <w:t>2015年12月31日前对铅蓄电池缓征消费税;自2016年1月1日起,对铅蓄电池按4%税率征收消费税。</w:t>
      </w:r>
    </w:p>
    <w:p>
      <w:pPr>
        <w:bidi w:val="0"/>
        <w:rPr>
          <w:rFonts w:hint="eastAsia" w:eastAsia="仿宋_GB2312"/>
          <w:lang w:eastAsia="zh-CN"/>
        </w:rPr>
      </w:pPr>
      <w:r>
        <w:rPr>
          <w:rFonts w:hint="eastAsia"/>
        </w:rPr>
        <w:t>3.电池税目征收范围注释</w:t>
      </w:r>
      <w:r>
        <w:rPr>
          <w:rFonts w:hint="eastAsia"/>
          <w:lang w:eastAsia="zh-CN"/>
        </w:rPr>
        <w:t>：</w:t>
      </w:r>
    </w:p>
    <w:p>
      <w:pPr>
        <w:bidi w:val="0"/>
        <w:rPr>
          <w:rFonts w:hint="eastAsia"/>
        </w:rPr>
      </w:pPr>
      <w:r>
        <w:rPr>
          <w:rFonts w:hint="eastAsia"/>
        </w:rPr>
        <w:t>电池，是一种将化学能、光能等直接转换为电能的装置,一般由电极、电解质、容器、极端,通常还有隔离层组成的基本功能单元,以及用一个或多个基本功能单元装配成的电池组。范围包括:原电池、蓄电池、燃料电池、太阳能电池和其他电池。</w:t>
      </w:r>
    </w:p>
    <w:p>
      <w:pPr>
        <w:bidi w:val="0"/>
        <w:rPr>
          <w:rFonts w:hint="eastAsia"/>
        </w:rPr>
      </w:pPr>
      <w:r>
        <w:rPr>
          <w:rFonts w:hint="eastAsia"/>
        </w:rPr>
        <w:t>（1）原电池</w:t>
      </w:r>
    </w:p>
    <w:p>
      <w:pPr>
        <w:bidi w:val="0"/>
        <w:rPr>
          <w:rFonts w:hint="eastAsia"/>
        </w:rPr>
      </w:pPr>
      <w:r>
        <w:rPr>
          <w:rFonts w:hint="eastAsia"/>
        </w:rPr>
        <w:t>原电池又称一次电池,是按不可以充电设计的电池。按照电极所含的活性物质分类,原电池包括锌原电池、锂原电池和其他原电池。</w:t>
      </w:r>
    </w:p>
    <w:p>
      <w:pPr>
        <w:bidi w:val="0"/>
        <w:rPr>
          <w:rFonts w:hint="eastAsia"/>
        </w:rPr>
      </w:pPr>
      <w:r>
        <w:rPr>
          <w:rFonts w:hint="eastAsia"/>
        </w:rPr>
        <w:t>锌原电池。以锌做负极的原电池,包括锌二氧化锰原电池、碱性锌二氧化锰原电池、锌氧原电池(又称“锌空气原电池”)、锌氧化银原电池(又称“锌银原电池”)、锌氧化汞原电池(又称“汞电池”、“氧化汞原电池”)等。</w:t>
      </w:r>
    </w:p>
    <w:p>
      <w:pPr>
        <w:bidi w:val="0"/>
        <w:rPr>
          <w:rFonts w:hint="eastAsia"/>
        </w:rPr>
      </w:pPr>
      <w:r>
        <w:rPr>
          <w:rFonts w:hint="eastAsia"/>
        </w:rPr>
        <w:t>锂原电池。以锂做负极的原电池,包括锂二氧化锰原电池、锂亚硫酰氯原电池、锂二硫化铁原电池、锂二氧化硫原电池、锂氧原电池(又称“锂空气原电池”)、锂氟化碳原电池等。</w:t>
      </w:r>
    </w:p>
    <w:p>
      <w:pPr>
        <w:bidi w:val="0"/>
        <w:rPr>
          <w:rFonts w:hint="eastAsia"/>
        </w:rPr>
      </w:pPr>
      <w:r>
        <w:rPr>
          <w:rFonts w:hint="eastAsia"/>
        </w:rPr>
        <w:t>其他原电池。指锌原电池、锂原电池以外的原电池。</w:t>
      </w:r>
    </w:p>
    <w:p>
      <w:pPr>
        <w:bidi w:val="0"/>
        <w:rPr>
          <w:rFonts w:hint="eastAsia"/>
        </w:rPr>
      </w:pPr>
      <w:r>
        <w:rPr>
          <w:rFonts w:hint="eastAsia"/>
        </w:rPr>
        <w:t>原电池又可分为无汞原电池和含汞原电池。汞含量低于电池重量的0.0001%(扣式电池按0.0005%)的原电池为无汞原电池;其他原电池为含汞原电池。</w:t>
      </w:r>
    </w:p>
    <w:p>
      <w:pPr>
        <w:bidi w:val="0"/>
        <w:rPr>
          <w:rFonts w:hint="eastAsia"/>
        </w:rPr>
      </w:pPr>
      <w:r>
        <w:rPr>
          <w:rFonts w:hint="eastAsia"/>
        </w:rPr>
        <w:t>（2）蓄电池</w:t>
      </w:r>
    </w:p>
    <w:p>
      <w:pPr>
        <w:bidi w:val="0"/>
        <w:rPr>
          <w:rFonts w:hint="eastAsia"/>
        </w:rPr>
      </w:pPr>
      <w:r>
        <w:rPr>
          <w:rFonts w:hint="eastAsia"/>
        </w:rPr>
        <w:t>蓄电池又称二次电池,是按可充电、重复使用设计的电池;包括酸性蓄电池、碱性或其他非酸性蓄电池、氧化还原液流蓄电池和其他蓄电池。</w:t>
      </w:r>
    </w:p>
    <w:p>
      <w:pPr>
        <w:bidi w:val="0"/>
        <w:rPr>
          <w:rFonts w:hint="eastAsia"/>
        </w:rPr>
      </w:pPr>
      <w:r>
        <w:rPr>
          <w:rFonts w:hint="eastAsia"/>
        </w:rPr>
        <w:t>酸性蓄电池</w:t>
      </w:r>
      <w:r>
        <w:rPr>
          <w:rFonts w:hint="eastAsia"/>
          <w:lang w:eastAsia="zh-CN"/>
        </w:rPr>
        <w:t>，</w:t>
      </w:r>
      <w:r>
        <w:rPr>
          <w:rFonts w:hint="eastAsia"/>
        </w:rPr>
        <w:t>一种含酸性电解质的蓄电池,包括铅蓄电池(又称“铅酸蓄电池”)等。</w:t>
      </w:r>
    </w:p>
    <w:p>
      <w:pPr>
        <w:bidi w:val="0"/>
        <w:rPr>
          <w:rFonts w:hint="eastAsia"/>
        </w:rPr>
      </w:pPr>
      <w:r>
        <w:rPr>
          <w:rFonts w:hint="eastAsia"/>
        </w:rPr>
        <w:t>铅蓄电池,指含以稀硫酸为主电解质、二氧化铅正极和铅负极的蓄电池。</w:t>
      </w:r>
    </w:p>
    <w:p>
      <w:pPr>
        <w:bidi w:val="0"/>
        <w:rPr>
          <w:rFonts w:hint="eastAsia"/>
        </w:rPr>
      </w:pPr>
      <w:r>
        <w:rPr>
          <w:rFonts w:hint="eastAsia"/>
        </w:rPr>
        <w:t>碱性或其他非酸性蓄电池</w:t>
      </w:r>
      <w:r>
        <w:rPr>
          <w:rFonts w:hint="eastAsia"/>
          <w:lang w:eastAsia="zh-CN"/>
        </w:rPr>
        <w:t>，</w:t>
      </w:r>
      <w:r>
        <w:rPr>
          <w:rFonts w:hint="eastAsia"/>
        </w:rPr>
        <w:t>一种含碱性或其他非酸性电解质的蓄电池,包括金属锂蓄电池、锂离子蓄电池、金属氢化物镍蓄电池(又称“氢镍蓄电池”或“镍氢蓄电池”)、镉镍蓄电池、铁镍蓄电池、锌氧化银蓄电池(又称“锌银蓄电池”)、碱性锌二氧化锰蓄电池(又称“可充碱性锌二氧化锰电池”)、锌氧蓄电池(又称“锌空气蓄电池”)、锂氧蓄电池(又称“锂空气蓄电池”)等。</w:t>
      </w:r>
    </w:p>
    <w:p>
      <w:pPr>
        <w:bidi w:val="0"/>
        <w:rPr>
          <w:rFonts w:hint="eastAsia"/>
        </w:rPr>
      </w:pPr>
      <w:r>
        <w:rPr>
          <w:rFonts w:hint="eastAsia"/>
        </w:rPr>
        <w:t>氧化还原液流电池</w:t>
      </w:r>
      <w:r>
        <w:rPr>
          <w:rFonts w:hint="eastAsia"/>
          <w:lang w:eastAsia="zh-CN"/>
        </w:rPr>
        <w:t>，</w:t>
      </w:r>
      <w:r>
        <w:rPr>
          <w:rFonts w:hint="eastAsia"/>
        </w:rPr>
        <w:t>一种通过正负极电解液中不同价态离子的电化学反应来实现电能和化学能互相转化的储能装置,目前主要包括全钒液流电池。全钒液流电池是通过正负极电解液中不同价态钒离子的电化学反应来实现电能和化学能互相转化的储能装置。</w:t>
      </w:r>
    </w:p>
    <w:p>
      <w:pPr>
        <w:bidi w:val="0"/>
        <w:rPr>
          <w:rFonts w:hint="eastAsia"/>
        </w:rPr>
      </w:pPr>
      <w:r>
        <w:rPr>
          <w:rFonts w:hint="eastAsia"/>
        </w:rPr>
        <w:t>其他蓄电池。除上述外的蓄电池。　</w:t>
      </w:r>
    </w:p>
    <w:p>
      <w:pPr>
        <w:bidi w:val="0"/>
        <w:rPr>
          <w:rFonts w:hint="eastAsia"/>
        </w:rPr>
      </w:pPr>
      <w:r>
        <w:rPr>
          <w:rFonts w:hint="eastAsia"/>
        </w:rPr>
        <w:t>（3）燃料电池</w:t>
      </w:r>
    </w:p>
    <w:p>
      <w:pPr>
        <w:bidi w:val="0"/>
        <w:rPr>
          <w:rFonts w:hint="eastAsia"/>
        </w:rPr>
      </w:pPr>
      <w:r>
        <w:rPr>
          <w:rFonts w:hint="eastAsia"/>
        </w:rPr>
        <w:t>燃料电池,指通过一个电化学过程,将连续供应的反应物和氧化剂的化学能直接转换为电能的电化学发电装置。　　</w:t>
      </w:r>
    </w:p>
    <w:p>
      <w:pPr>
        <w:bidi w:val="0"/>
        <w:rPr>
          <w:rFonts w:hint="eastAsia"/>
        </w:rPr>
      </w:pPr>
      <w:r>
        <w:rPr>
          <w:rFonts w:hint="eastAsia"/>
        </w:rPr>
        <w:t>（4）太阳能电池</w:t>
      </w:r>
    </w:p>
    <w:p>
      <w:pPr>
        <w:bidi w:val="0"/>
        <w:rPr>
          <w:rFonts w:hint="eastAsia"/>
        </w:rPr>
      </w:pPr>
      <w:r>
        <w:rPr>
          <w:rFonts w:hint="eastAsia"/>
        </w:rPr>
        <w:t>太阳能电池,是将太阳光能转换成电能的装置,包括晶体硅太阳能电池、薄膜太阳能电池、化合物半导体太阳能电池等,但不包括用于太阳能发电储能用的蓄电池。</w:t>
      </w:r>
    </w:p>
    <w:p>
      <w:pPr>
        <w:bidi w:val="0"/>
        <w:rPr>
          <w:rFonts w:hint="eastAsia"/>
        </w:rPr>
      </w:pPr>
      <w:r>
        <w:rPr>
          <w:rFonts w:hint="eastAsia"/>
        </w:rPr>
        <w:t>（5）其他电池</w:t>
      </w:r>
    </w:p>
    <w:p>
      <w:pPr>
        <w:bidi w:val="0"/>
        <w:rPr>
          <w:rFonts w:hint="eastAsia"/>
        </w:rPr>
      </w:pPr>
      <w:r>
        <w:rPr>
          <w:rFonts w:hint="eastAsia"/>
        </w:rPr>
        <w:t>除原电池、蓄电池、燃料电池、太阳能电池以外的电池。</w:t>
      </w:r>
    </w:p>
    <w:p>
      <w:pPr>
        <w:pStyle w:val="6"/>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【政策依据】</w:t>
      </w:r>
    </w:p>
    <w:p>
      <w:pPr>
        <w:pStyle w:val="20"/>
        <w:keepNext w:val="0"/>
        <w:keepLines w:val="0"/>
        <w:pageBreakBefore w:val="0"/>
        <w:widowControl w:val="0"/>
        <w:kinsoku/>
        <w:wordWrap/>
        <w:overflowPunct/>
        <w:topLinePunct w:val="0"/>
        <w:autoSpaceDE/>
        <w:autoSpaceDN/>
        <w:bidi w:val="0"/>
        <w:textAlignment w:val="auto"/>
        <w:rPr>
          <w:rFonts w:hint="eastAsia"/>
          <w:lang w:val="en-US" w:eastAsia="zh-CN"/>
        </w:rPr>
      </w:pPr>
      <w:r>
        <w:rPr>
          <w:rFonts w:hint="eastAsia"/>
          <w:lang w:val="en-US" w:eastAsia="zh-CN"/>
        </w:rPr>
        <w:t>《财政部 国家税务总局关于对电池 涂料征收消费税的通知》（财税〔2015〕16号）</w:t>
      </w:r>
    </w:p>
    <w:p>
      <w:pPr>
        <w:pStyle w:val="5"/>
        <w:keepNext w:val="0"/>
        <w:keepLines w:val="0"/>
        <w:pageBreakBefore w:val="0"/>
        <w:widowControl w:val="0"/>
        <w:numPr>
          <w:ilvl w:val="0"/>
          <w:numId w:val="1"/>
        </w:numPr>
        <w:kinsoku/>
        <w:wordWrap/>
        <w:overflowPunct/>
        <w:topLinePunct w:val="0"/>
        <w:autoSpaceDE/>
        <w:autoSpaceDN/>
        <w:bidi w:val="0"/>
        <w:adjustRightInd/>
        <w:snapToGrid/>
        <w:spacing w:line="416" w:lineRule="auto"/>
        <w:ind w:left="0" w:leftChars="0" w:firstLine="0" w:firstLineChars="0"/>
        <w:textAlignment w:val="auto"/>
        <w:outlineLvl w:val="1"/>
        <w:rPr>
          <w:rFonts w:hint="eastAsia" w:ascii="宋体" w:hAnsi="宋体" w:eastAsia="宋体" w:cs="宋体"/>
          <w:color w:val="auto"/>
          <w:highlight w:val="none"/>
        </w:rPr>
      </w:pPr>
      <w:bookmarkStart w:id="8" w:name="_Toc6681"/>
      <w:r>
        <w:rPr>
          <w:rFonts w:hint="eastAsia"/>
          <w:color w:val="auto"/>
          <w:highlight w:val="none"/>
          <w:lang w:val="en-US" w:eastAsia="zh-CN"/>
        </w:rPr>
        <w:t>对</w:t>
      </w:r>
      <w:r>
        <w:rPr>
          <w:rFonts w:hint="eastAsia"/>
          <w:color w:val="auto"/>
          <w:highlight w:val="none"/>
        </w:rPr>
        <w:t>涂料征收消费税</w:t>
      </w:r>
      <w:bookmarkEnd w:id="8"/>
    </w:p>
    <w:p>
      <w:pPr>
        <w:pStyle w:val="6"/>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w:t>
      </w:r>
      <w:r>
        <w:rPr>
          <w:rFonts w:hint="eastAsia"/>
          <w:lang w:eastAsia="zh-CN"/>
        </w:rPr>
        <w:t>政策</w:t>
      </w:r>
      <w:r>
        <w:rPr>
          <w:rFonts w:hint="eastAsia"/>
        </w:rPr>
        <w:t>内容】</w:t>
      </w:r>
    </w:p>
    <w:p>
      <w:pPr>
        <w:keepNext w:val="0"/>
        <w:keepLines w:val="0"/>
        <w:pageBreakBefore w:val="0"/>
        <w:widowControl w:val="0"/>
        <w:kinsoku/>
        <w:wordWrap/>
        <w:overflowPunct/>
        <w:topLinePunct w:val="0"/>
        <w:autoSpaceDE/>
        <w:autoSpaceDN/>
        <w:bidi w:val="0"/>
        <w:textAlignment w:val="auto"/>
        <w:rPr>
          <w:rFonts w:hint="eastAsia"/>
        </w:rPr>
      </w:pPr>
      <w:r>
        <w:rPr>
          <w:rFonts w:hint="eastAsia"/>
          <w:lang w:val="en-US" w:eastAsia="zh-CN"/>
        </w:rPr>
        <w:t>1.</w:t>
      </w:r>
      <w:r>
        <w:rPr>
          <w:rFonts w:hint="eastAsia"/>
        </w:rPr>
        <w:t>自2015年2月1日起对涂料征收消费税。将</w:t>
      </w:r>
      <w:r>
        <w:rPr>
          <w:rFonts w:hint="eastAsia"/>
          <w:lang w:eastAsia="zh-CN"/>
        </w:rPr>
        <w:t>涂料</w:t>
      </w:r>
      <w:r>
        <w:rPr>
          <w:rFonts w:hint="eastAsia"/>
        </w:rPr>
        <w:t>列入消费税征收范围</w:t>
      </w:r>
      <w:r>
        <w:rPr>
          <w:rFonts w:hint="eastAsia"/>
          <w:color w:val="auto"/>
          <w:highlight w:val="none"/>
        </w:rPr>
        <w:t>,</w:t>
      </w:r>
      <w:r>
        <w:rPr>
          <w:rFonts w:hint="eastAsia"/>
        </w:rPr>
        <w:t>在生产、委托加工和进口环节征收,适用税率均为4%。</w:t>
      </w:r>
    </w:p>
    <w:p>
      <w:pPr>
        <w:bidi w:val="0"/>
        <w:rPr>
          <w:rFonts w:hint="eastAsia"/>
          <w:lang w:eastAsia="zh-CN"/>
        </w:rPr>
      </w:pPr>
      <w:bookmarkStart w:id="9" w:name="_Toc30293"/>
      <w:r>
        <w:rPr>
          <w:rFonts w:hint="eastAsia"/>
          <w:lang w:val="en-US" w:eastAsia="zh-CN"/>
        </w:rPr>
        <w:t>2.</w:t>
      </w:r>
      <w:r>
        <w:rPr>
          <w:rFonts w:hint="eastAsia"/>
        </w:rPr>
        <w:t>涂料税目征收范围注释</w:t>
      </w:r>
      <w:r>
        <w:rPr>
          <w:rFonts w:hint="eastAsia"/>
          <w:lang w:eastAsia="zh-CN"/>
        </w:rPr>
        <w:t>：</w:t>
      </w:r>
      <w:bookmarkEnd w:id="9"/>
    </w:p>
    <w:p>
      <w:pPr>
        <w:bidi w:val="0"/>
        <w:rPr>
          <w:rFonts w:hint="eastAsia"/>
        </w:rPr>
      </w:pPr>
      <w:r>
        <w:rPr>
          <w:rFonts w:hint="eastAsia"/>
        </w:rPr>
        <w:t>涂料是指涂于物体表面能形成具有保护、装饰或特殊性能的固态涂膜的一类液体或固体材料之总称。</w:t>
      </w:r>
    </w:p>
    <w:p>
      <w:pPr>
        <w:bidi w:val="0"/>
        <w:rPr>
          <w:rFonts w:hint="eastAsia"/>
        </w:rPr>
      </w:pPr>
      <w:r>
        <w:rPr>
          <w:rFonts w:hint="eastAsia"/>
        </w:rPr>
        <w:t>涂料由主要成膜物质、次要成膜物质等构成。按主要成膜物质涂料可分为油脂类、天然树脂类、酚醛树脂类、沥青类、醇酸树脂类、氨基树脂类、硝基类、过滤乙烯树脂类、烯类树脂类、丙烯酸酯类树脂类、聚酯树脂类、环氧树脂类、聚氨酯树脂类、元素有机类、橡胶类、纤维素类、其他成膜物类等。</w:t>
      </w:r>
    </w:p>
    <w:p>
      <w:pPr>
        <w:pStyle w:val="6"/>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【政策依据】</w:t>
      </w:r>
    </w:p>
    <w:p>
      <w:pPr>
        <w:pStyle w:val="20"/>
        <w:keepNext w:val="0"/>
        <w:keepLines w:val="0"/>
        <w:pageBreakBefore w:val="0"/>
        <w:widowControl w:val="0"/>
        <w:kinsoku/>
        <w:wordWrap/>
        <w:overflowPunct/>
        <w:topLinePunct w:val="0"/>
        <w:autoSpaceDE/>
        <w:autoSpaceDN/>
        <w:bidi w:val="0"/>
        <w:textAlignment w:val="auto"/>
        <w:rPr>
          <w:rFonts w:hint="eastAsia"/>
          <w:lang w:val="en-US" w:eastAsia="zh-CN"/>
        </w:rPr>
      </w:pPr>
      <w:r>
        <w:rPr>
          <w:rFonts w:hint="eastAsia"/>
          <w:lang w:val="en-US" w:eastAsia="zh-CN"/>
        </w:rPr>
        <w:t>《财政部 国家税务总局关于对电池 涂料征收消费税的通知》（财税〔2015〕16号）</w:t>
      </w:r>
    </w:p>
    <w:p>
      <w:pPr>
        <w:bidi w:val="0"/>
        <w:rPr>
          <w:rFonts w:hint="eastAsia"/>
        </w:rPr>
      </w:pPr>
    </w:p>
    <w:p>
      <w:pPr>
        <w:bidi w:val="0"/>
        <w:rPr>
          <w:rFonts w:hint="eastAsia"/>
        </w:rPr>
      </w:pPr>
    </w:p>
    <w:p>
      <w:pPr>
        <w:pStyle w:val="2"/>
        <w:rPr>
          <w:rFonts w:hint="eastAsia"/>
        </w:rPr>
      </w:pPr>
    </w:p>
    <w:p>
      <w:pPr>
        <w:pStyle w:val="5"/>
        <w:keepNext w:val="0"/>
        <w:keepLines w:val="0"/>
        <w:pageBreakBefore w:val="0"/>
        <w:widowControl w:val="0"/>
        <w:numPr>
          <w:ilvl w:val="0"/>
          <w:numId w:val="1"/>
        </w:numPr>
        <w:kinsoku/>
        <w:wordWrap/>
        <w:overflowPunct/>
        <w:topLinePunct w:val="0"/>
        <w:autoSpaceDE/>
        <w:autoSpaceDN/>
        <w:bidi w:val="0"/>
        <w:adjustRightInd/>
        <w:snapToGrid/>
        <w:spacing w:line="416" w:lineRule="auto"/>
        <w:ind w:left="0" w:leftChars="0" w:firstLine="0" w:firstLineChars="0"/>
        <w:textAlignment w:val="auto"/>
        <w:outlineLvl w:val="1"/>
        <w:rPr>
          <w:rFonts w:hint="eastAsia" w:ascii="宋体" w:hAnsi="宋体" w:eastAsia="宋体" w:cs="宋体"/>
        </w:rPr>
      </w:pPr>
      <w:bookmarkStart w:id="10" w:name="_Toc21239"/>
      <w:bookmarkStart w:id="11" w:name="_Toc9500"/>
      <w:r>
        <w:rPr>
          <w:rFonts w:hint="eastAsia" w:ascii="宋体" w:hAnsi="宋体" w:eastAsia="宋体" w:cs="宋体"/>
        </w:rPr>
        <w:t>对</w:t>
      </w:r>
      <w:bookmarkEnd w:id="10"/>
      <w:r>
        <w:rPr>
          <w:rFonts w:hint="eastAsia" w:ascii="宋体" w:hAnsi="宋体" w:eastAsia="宋体" w:cs="宋体"/>
        </w:rPr>
        <w:t>成品油征收消费税</w:t>
      </w:r>
      <w:bookmarkEnd w:id="11"/>
    </w:p>
    <w:p>
      <w:pPr>
        <w:pStyle w:val="6"/>
        <w:keepNext w:val="0"/>
        <w:keepLines w:val="0"/>
        <w:pageBreakBefore w:val="0"/>
        <w:widowControl w:val="0"/>
        <w:kinsoku/>
        <w:wordWrap/>
        <w:overflowPunct/>
        <w:topLinePunct w:val="0"/>
        <w:autoSpaceDE/>
        <w:autoSpaceDN/>
        <w:bidi w:val="0"/>
        <w:textAlignment w:val="auto"/>
        <w:rPr>
          <w:rFonts w:hint="eastAsia"/>
        </w:rPr>
      </w:pPr>
      <w:r>
        <w:rPr>
          <w:rFonts w:hint="eastAsia"/>
        </w:rPr>
        <w:t>【政策内容】</w:t>
      </w:r>
    </w:p>
    <w:p>
      <w:pPr>
        <w:keepNext w:val="0"/>
        <w:keepLines w:val="0"/>
        <w:pageBreakBefore w:val="0"/>
        <w:widowControl w:val="0"/>
        <w:kinsoku/>
        <w:wordWrap/>
        <w:overflowPunct/>
        <w:topLinePunct w:val="0"/>
        <w:autoSpaceDE/>
        <w:autoSpaceDN/>
        <w:bidi w:val="0"/>
        <w:textAlignment w:val="auto"/>
        <w:rPr>
          <w:rFonts w:hint="eastAsia"/>
        </w:rPr>
      </w:pPr>
      <w:r>
        <w:rPr>
          <w:rFonts w:hint="eastAsia"/>
        </w:rPr>
        <w:t>自2015年1月13日起，将汽油、石脑油、溶剂油和润滑油的消费税单位税额由1.4元/升提高到1.52元/升。将柴油、航空煤油和燃料油的消费税单位税额由1.1元/升提高到1.2元/升。航空煤油继续暂缓征收。</w:t>
      </w:r>
    </w:p>
    <w:p>
      <w:pPr>
        <w:pStyle w:val="6"/>
        <w:keepNext w:val="0"/>
        <w:keepLines w:val="0"/>
        <w:pageBreakBefore w:val="0"/>
        <w:widowControl w:val="0"/>
        <w:kinsoku/>
        <w:wordWrap/>
        <w:overflowPunct/>
        <w:topLinePunct w:val="0"/>
        <w:autoSpaceDE/>
        <w:autoSpaceDN/>
        <w:bidi w:val="0"/>
        <w:textAlignment w:val="auto"/>
        <w:rPr>
          <w:rFonts w:hint="eastAsia"/>
        </w:rPr>
      </w:pPr>
      <w:r>
        <w:rPr>
          <w:rFonts w:hint="eastAsia"/>
        </w:rPr>
        <w:t>【政策依据】</w:t>
      </w:r>
    </w:p>
    <w:p>
      <w:pPr>
        <w:pStyle w:val="20"/>
        <w:keepNext w:val="0"/>
        <w:keepLines w:val="0"/>
        <w:pageBreakBefore w:val="0"/>
        <w:widowControl w:val="0"/>
        <w:kinsoku/>
        <w:wordWrap/>
        <w:overflowPunct/>
        <w:topLinePunct w:val="0"/>
        <w:autoSpaceDE/>
        <w:autoSpaceDN/>
        <w:bidi w:val="0"/>
        <w:textAlignment w:val="auto"/>
        <w:rPr>
          <w:rFonts w:hint="eastAsia"/>
        </w:rPr>
      </w:pPr>
      <w:r>
        <w:rPr>
          <w:rFonts w:hint="eastAsia"/>
        </w:rPr>
        <w:t>《财政部 国家税务总局关于继续提高成品油消费税的通知》（财税〔2015〕11号）</w:t>
      </w:r>
    </w:p>
    <w:p>
      <w:pPr>
        <w:keepNext w:val="0"/>
        <w:keepLines w:val="0"/>
        <w:pageBreakBefore w:val="0"/>
        <w:widowControl w:val="0"/>
        <w:kinsoku/>
        <w:wordWrap/>
        <w:overflowPunct/>
        <w:topLinePunct w:val="0"/>
        <w:autoSpaceDE/>
        <w:autoSpaceDN/>
        <w:bidi w:val="0"/>
        <w:textAlignment w:val="auto"/>
        <w:rPr>
          <w:rFonts w:hint="eastAsia"/>
        </w:rPr>
      </w:pPr>
    </w:p>
    <w:p>
      <w:pPr>
        <w:keepNext w:val="0"/>
        <w:keepLines w:val="0"/>
        <w:pageBreakBefore w:val="0"/>
        <w:widowControl w:val="0"/>
        <w:kinsoku/>
        <w:wordWrap/>
        <w:overflowPunct/>
        <w:topLinePunct w:val="0"/>
        <w:autoSpaceDE/>
        <w:autoSpaceDN/>
        <w:bidi w:val="0"/>
        <w:textAlignment w:val="auto"/>
        <w:rPr>
          <w:rFonts w:hint="eastAsia"/>
        </w:rPr>
      </w:pPr>
    </w:p>
    <w:p>
      <w:pPr>
        <w:pStyle w:val="5"/>
        <w:keepNext w:val="0"/>
        <w:keepLines w:val="0"/>
        <w:pageBreakBefore w:val="0"/>
        <w:widowControl w:val="0"/>
        <w:numPr>
          <w:ilvl w:val="0"/>
          <w:numId w:val="1"/>
        </w:numPr>
        <w:kinsoku/>
        <w:wordWrap/>
        <w:overflowPunct/>
        <w:topLinePunct w:val="0"/>
        <w:autoSpaceDE/>
        <w:autoSpaceDN/>
        <w:bidi w:val="0"/>
        <w:adjustRightInd/>
        <w:snapToGrid/>
        <w:spacing w:line="416" w:lineRule="auto"/>
        <w:ind w:left="0" w:leftChars="0" w:firstLine="0" w:firstLineChars="0"/>
        <w:textAlignment w:val="auto"/>
        <w:outlineLvl w:val="1"/>
        <w:rPr>
          <w:rFonts w:hint="eastAsia"/>
        </w:rPr>
      </w:pPr>
      <w:bookmarkStart w:id="12" w:name="_Toc11217"/>
      <w:r>
        <w:rPr>
          <w:rFonts w:hint="eastAsia" w:ascii="宋体" w:hAnsi="宋体" w:eastAsia="宋体" w:cs="宋体"/>
        </w:rPr>
        <w:t>对鞭炮焰火征收消费税</w:t>
      </w:r>
      <w:bookmarkEnd w:id="12"/>
    </w:p>
    <w:p>
      <w:pPr>
        <w:pStyle w:val="6"/>
        <w:keepNext w:val="0"/>
        <w:keepLines w:val="0"/>
        <w:pageBreakBefore w:val="0"/>
        <w:widowControl w:val="0"/>
        <w:kinsoku/>
        <w:wordWrap/>
        <w:overflowPunct/>
        <w:topLinePunct w:val="0"/>
        <w:autoSpaceDE/>
        <w:autoSpaceDN/>
        <w:bidi w:val="0"/>
        <w:textAlignment w:val="auto"/>
        <w:rPr>
          <w:rFonts w:hint="eastAsia"/>
        </w:rPr>
      </w:pPr>
      <w:r>
        <w:rPr>
          <w:rFonts w:hint="eastAsia"/>
        </w:rPr>
        <w:t>【政策内容】</w:t>
      </w:r>
    </w:p>
    <w:p>
      <w:pPr>
        <w:keepNext w:val="0"/>
        <w:keepLines w:val="0"/>
        <w:pageBreakBefore w:val="0"/>
        <w:widowControl w:val="0"/>
        <w:kinsoku/>
        <w:wordWrap/>
        <w:overflowPunct/>
        <w:topLinePunct w:val="0"/>
        <w:autoSpaceDE/>
        <w:autoSpaceDN/>
        <w:bidi w:val="0"/>
        <w:textAlignment w:val="auto"/>
        <w:rPr>
          <w:rFonts w:hint="eastAsia"/>
        </w:rPr>
      </w:pPr>
      <w:r>
        <w:rPr>
          <w:rFonts w:hint="eastAsia"/>
        </w:rPr>
        <w:t>对鞭炮焰火征收消费税。</w:t>
      </w:r>
    </w:p>
    <w:p>
      <w:pPr>
        <w:keepNext w:val="0"/>
        <w:keepLines w:val="0"/>
        <w:pageBreakBefore w:val="0"/>
        <w:widowControl w:val="0"/>
        <w:kinsoku/>
        <w:wordWrap/>
        <w:overflowPunct/>
        <w:topLinePunct w:val="0"/>
        <w:autoSpaceDE/>
        <w:autoSpaceDN/>
        <w:bidi w:val="0"/>
        <w:textAlignment w:val="auto"/>
        <w:rPr>
          <w:rFonts w:hint="eastAsia"/>
        </w:rPr>
      </w:pPr>
      <w:r>
        <w:rPr>
          <w:rFonts w:hint="eastAsia"/>
        </w:rPr>
        <w:t>鞭炮，又称爆竹。是用多层纸密裹火药，接以药引线，制成的一种爆炸品。</w:t>
      </w:r>
    </w:p>
    <w:p>
      <w:pPr>
        <w:keepNext w:val="0"/>
        <w:keepLines w:val="0"/>
        <w:pageBreakBefore w:val="0"/>
        <w:widowControl w:val="0"/>
        <w:kinsoku/>
        <w:wordWrap/>
        <w:overflowPunct/>
        <w:topLinePunct w:val="0"/>
        <w:autoSpaceDE/>
        <w:autoSpaceDN/>
        <w:bidi w:val="0"/>
        <w:textAlignment w:val="auto"/>
        <w:rPr>
          <w:rFonts w:hint="eastAsia"/>
        </w:rPr>
      </w:pPr>
      <w:r>
        <w:rPr>
          <w:rFonts w:hint="eastAsia"/>
        </w:rPr>
        <w:t>焰火，指烟火剂，一般系包扎品，内装药剂，点燃后烟火喷射，呈各种颜色，有的还变幻成各种景象，分平地小焰火和空中大焰火两类。</w:t>
      </w:r>
    </w:p>
    <w:p>
      <w:pPr>
        <w:keepNext w:val="0"/>
        <w:keepLines w:val="0"/>
        <w:pageBreakBefore w:val="0"/>
        <w:widowControl w:val="0"/>
        <w:kinsoku/>
        <w:wordWrap/>
        <w:overflowPunct/>
        <w:topLinePunct w:val="0"/>
        <w:autoSpaceDE/>
        <w:autoSpaceDN/>
        <w:bidi w:val="0"/>
        <w:textAlignment w:val="auto"/>
        <w:rPr>
          <w:rFonts w:hint="eastAsia"/>
        </w:rPr>
      </w:pPr>
      <w:r>
        <w:rPr>
          <w:rFonts w:hint="eastAsia"/>
        </w:rPr>
        <w:t>本税目征收范围包括各种鞭炮、焰火。通常分为13类，即喷花类、旋转类、旋转升空类、火箭类、吐珠类、线香类、小礼花类、烟雾类、造型玩具类、炮竹类、摩擦炮类、组合烟花类、礼花弹类。</w:t>
      </w:r>
    </w:p>
    <w:p>
      <w:pPr>
        <w:keepNext w:val="0"/>
        <w:keepLines w:val="0"/>
        <w:pageBreakBefore w:val="0"/>
        <w:widowControl w:val="0"/>
        <w:kinsoku/>
        <w:wordWrap/>
        <w:overflowPunct/>
        <w:topLinePunct w:val="0"/>
        <w:autoSpaceDE/>
        <w:autoSpaceDN/>
        <w:bidi w:val="0"/>
        <w:textAlignment w:val="auto"/>
        <w:rPr>
          <w:rFonts w:hint="eastAsia"/>
        </w:rPr>
      </w:pPr>
      <w:r>
        <w:rPr>
          <w:rFonts w:hint="eastAsia"/>
        </w:rPr>
        <w:t>体育上用的发令纸，鞭炮药引线，不按本税目征收。</w:t>
      </w:r>
    </w:p>
    <w:p>
      <w:pPr>
        <w:pStyle w:val="6"/>
        <w:keepNext w:val="0"/>
        <w:keepLines w:val="0"/>
        <w:pageBreakBefore w:val="0"/>
        <w:widowControl w:val="0"/>
        <w:kinsoku/>
        <w:wordWrap/>
        <w:overflowPunct/>
        <w:topLinePunct w:val="0"/>
        <w:autoSpaceDE/>
        <w:autoSpaceDN/>
        <w:bidi w:val="0"/>
        <w:textAlignment w:val="auto"/>
        <w:rPr>
          <w:rFonts w:hint="eastAsia"/>
        </w:rPr>
      </w:pPr>
      <w:r>
        <w:rPr>
          <w:rFonts w:hint="eastAsia"/>
        </w:rPr>
        <w:t>【政策依据】</w:t>
      </w:r>
    </w:p>
    <w:p>
      <w:pPr>
        <w:pStyle w:val="20"/>
        <w:keepNext w:val="0"/>
        <w:keepLines w:val="0"/>
        <w:pageBreakBefore w:val="0"/>
        <w:widowControl w:val="0"/>
        <w:kinsoku/>
        <w:wordWrap/>
        <w:overflowPunct/>
        <w:topLinePunct w:val="0"/>
        <w:autoSpaceDE/>
        <w:autoSpaceDN/>
        <w:bidi w:val="0"/>
        <w:textAlignment w:val="auto"/>
        <w:rPr>
          <w:rFonts w:hint="eastAsia"/>
        </w:rPr>
      </w:pPr>
      <w:r>
        <w:rPr>
          <w:rFonts w:hint="eastAsia"/>
        </w:rPr>
        <w:t>1.《中华人民共和国消费税暂行条例》</w:t>
      </w:r>
    </w:p>
    <w:p>
      <w:pPr>
        <w:pStyle w:val="20"/>
        <w:keepNext w:val="0"/>
        <w:keepLines w:val="0"/>
        <w:pageBreakBefore w:val="0"/>
        <w:widowControl w:val="0"/>
        <w:kinsoku/>
        <w:wordWrap/>
        <w:overflowPunct/>
        <w:topLinePunct w:val="0"/>
        <w:autoSpaceDE/>
        <w:autoSpaceDN/>
        <w:bidi w:val="0"/>
        <w:textAlignment w:val="auto"/>
        <w:rPr>
          <w:rFonts w:hint="eastAsia"/>
        </w:rPr>
      </w:pPr>
      <w:r>
        <w:rPr>
          <w:rFonts w:hint="eastAsia"/>
        </w:rPr>
        <w:t>2.《国家税务总局关于印发〈消费税征收范围注释〉的通知》（国税发〔1993〕153号）</w:t>
      </w:r>
    </w:p>
    <w:p>
      <w:pPr>
        <w:keepNext w:val="0"/>
        <w:keepLines w:val="0"/>
        <w:pageBreakBefore w:val="0"/>
        <w:widowControl w:val="0"/>
        <w:kinsoku/>
        <w:wordWrap/>
        <w:overflowPunct/>
        <w:topLinePunct w:val="0"/>
        <w:autoSpaceDE/>
        <w:autoSpaceDN/>
        <w:bidi w:val="0"/>
        <w:textAlignment w:val="auto"/>
        <w:rPr>
          <w:rFonts w:hint="eastAsia"/>
        </w:rPr>
      </w:pPr>
    </w:p>
    <w:p>
      <w:pPr>
        <w:keepNext w:val="0"/>
        <w:keepLines w:val="0"/>
        <w:pageBreakBefore w:val="0"/>
        <w:widowControl w:val="0"/>
        <w:kinsoku/>
        <w:wordWrap/>
        <w:overflowPunct/>
        <w:topLinePunct w:val="0"/>
        <w:autoSpaceDE/>
        <w:autoSpaceDN/>
        <w:bidi w:val="0"/>
        <w:textAlignment w:val="auto"/>
        <w:rPr>
          <w:rFonts w:hint="eastAsia"/>
        </w:rPr>
      </w:pPr>
    </w:p>
    <w:p>
      <w:pPr>
        <w:pStyle w:val="5"/>
        <w:keepNext w:val="0"/>
        <w:keepLines w:val="0"/>
        <w:pageBreakBefore w:val="0"/>
        <w:widowControl w:val="0"/>
        <w:numPr>
          <w:ilvl w:val="0"/>
          <w:numId w:val="1"/>
        </w:numPr>
        <w:kinsoku/>
        <w:wordWrap/>
        <w:overflowPunct/>
        <w:topLinePunct w:val="0"/>
        <w:autoSpaceDE/>
        <w:autoSpaceDN/>
        <w:bidi w:val="0"/>
        <w:adjustRightInd/>
        <w:snapToGrid/>
        <w:spacing w:line="416" w:lineRule="auto"/>
        <w:ind w:left="0" w:leftChars="0" w:firstLine="0" w:firstLineChars="0"/>
        <w:textAlignment w:val="auto"/>
        <w:outlineLvl w:val="1"/>
        <w:rPr>
          <w:rFonts w:hint="eastAsia"/>
        </w:rPr>
      </w:pPr>
      <w:bookmarkStart w:id="13" w:name="_Toc29028"/>
      <w:r>
        <w:rPr>
          <w:rFonts w:hint="eastAsia" w:ascii="宋体" w:hAnsi="宋体" w:eastAsia="宋体" w:cs="宋体"/>
        </w:rPr>
        <w:t>对木制一次性筷子、实木地板征收消费税</w:t>
      </w:r>
      <w:bookmarkEnd w:id="13"/>
    </w:p>
    <w:p>
      <w:pPr>
        <w:pStyle w:val="6"/>
        <w:keepNext w:val="0"/>
        <w:keepLines w:val="0"/>
        <w:pageBreakBefore w:val="0"/>
        <w:widowControl w:val="0"/>
        <w:kinsoku/>
        <w:wordWrap/>
        <w:overflowPunct/>
        <w:topLinePunct w:val="0"/>
        <w:autoSpaceDE/>
        <w:autoSpaceDN/>
        <w:bidi w:val="0"/>
        <w:textAlignment w:val="auto"/>
        <w:rPr>
          <w:rFonts w:hint="eastAsia"/>
        </w:rPr>
      </w:pPr>
      <w:r>
        <w:rPr>
          <w:rFonts w:hint="eastAsia"/>
        </w:rPr>
        <w:t>【政策内容】</w:t>
      </w:r>
    </w:p>
    <w:p>
      <w:pPr>
        <w:keepNext w:val="0"/>
        <w:keepLines w:val="0"/>
        <w:pageBreakBefore w:val="0"/>
        <w:widowControl w:val="0"/>
        <w:kinsoku/>
        <w:wordWrap/>
        <w:overflowPunct/>
        <w:topLinePunct w:val="0"/>
        <w:autoSpaceDE/>
        <w:autoSpaceDN/>
        <w:bidi w:val="0"/>
        <w:textAlignment w:val="auto"/>
        <w:rPr>
          <w:rFonts w:hint="eastAsia"/>
        </w:rPr>
      </w:pPr>
      <w:r>
        <w:rPr>
          <w:rFonts w:hint="eastAsia"/>
        </w:rPr>
        <w:t>对木制一次性筷子、实木地板征收消费税，适用税率分别为：木制一次性筷子税率为5%，实木地板税率为5%。</w:t>
      </w:r>
    </w:p>
    <w:p>
      <w:pPr>
        <w:pStyle w:val="6"/>
        <w:keepNext w:val="0"/>
        <w:keepLines w:val="0"/>
        <w:pageBreakBefore w:val="0"/>
        <w:widowControl w:val="0"/>
        <w:kinsoku/>
        <w:wordWrap/>
        <w:overflowPunct/>
        <w:topLinePunct w:val="0"/>
        <w:autoSpaceDE/>
        <w:autoSpaceDN/>
        <w:bidi w:val="0"/>
        <w:textAlignment w:val="auto"/>
        <w:rPr>
          <w:rFonts w:hint="eastAsia"/>
        </w:rPr>
      </w:pPr>
      <w:r>
        <w:rPr>
          <w:rFonts w:hint="eastAsia"/>
        </w:rPr>
        <w:t>【政策依据】</w:t>
      </w:r>
    </w:p>
    <w:p>
      <w:pPr>
        <w:pStyle w:val="20"/>
        <w:keepNext w:val="0"/>
        <w:keepLines w:val="0"/>
        <w:pageBreakBefore w:val="0"/>
        <w:widowControl w:val="0"/>
        <w:kinsoku/>
        <w:wordWrap/>
        <w:overflowPunct/>
        <w:topLinePunct w:val="0"/>
        <w:autoSpaceDE/>
        <w:autoSpaceDN/>
        <w:bidi w:val="0"/>
        <w:textAlignment w:val="auto"/>
        <w:rPr>
          <w:rFonts w:hint="eastAsia"/>
        </w:rPr>
      </w:pPr>
      <w:r>
        <w:rPr>
          <w:rFonts w:hint="eastAsia"/>
        </w:rPr>
        <w:t>《财政部 国家税务总局关于调整和完善消费税政策的通知》（财税〔2006〕33号）</w:t>
      </w:r>
    </w:p>
    <w:p>
      <w:pPr>
        <w:bidi w:val="0"/>
        <w:ind w:left="0" w:leftChars="0" w:firstLine="0" w:firstLineChars="0"/>
        <w:rPr>
          <w:rFonts w:hint="eastAsia"/>
        </w:rPr>
      </w:pPr>
    </w:p>
    <w:p>
      <w:pPr>
        <w:pStyle w:val="3"/>
        <w:keepNext w:val="0"/>
        <w:keepLines w:val="0"/>
        <w:pageBreakBefore w:val="0"/>
        <w:widowControl w:val="0"/>
        <w:kinsoku/>
        <w:wordWrap/>
        <w:overflowPunct/>
        <w:topLinePunct w:val="0"/>
        <w:autoSpaceDE/>
        <w:autoSpaceDN/>
        <w:bidi w:val="0"/>
        <w:textAlignment w:val="auto"/>
        <w:rPr>
          <w:rFonts w:hint="eastAsia"/>
          <w:lang w:val="en-US" w:eastAsia="zh-CN"/>
        </w:rPr>
      </w:pPr>
      <w:bookmarkStart w:id="14" w:name="_Toc24774"/>
      <w:r>
        <w:rPr>
          <w:rFonts w:hint="eastAsia"/>
          <w:lang w:eastAsia="zh-CN"/>
        </w:rPr>
        <w:t>第二部分</w:t>
      </w:r>
      <w:r>
        <w:rPr>
          <w:rFonts w:hint="eastAsia"/>
          <w:lang w:val="en-US" w:eastAsia="zh-CN"/>
        </w:rPr>
        <w:t xml:space="preserve"> 资源税</w:t>
      </w:r>
      <w:bookmarkEnd w:id="14"/>
    </w:p>
    <w:p>
      <w:pPr>
        <w:pStyle w:val="5"/>
        <w:keepNext w:val="0"/>
        <w:keepLines w:val="0"/>
        <w:pageBreakBefore w:val="0"/>
        <w:widowControl w:val="0"/>
        <w:numPr>
          <w:ilvl w:val="0"/>
          <w:numId w:val="1"/>
        </w:numPr>
        <w:kinsoku/>
        <w:wordWrap/>
        <w:overflowPunct/>
        <w:topLinePunct w:val="0"/>
        <w:autoSpaceDE/>
        <w:autoSpaceDN/>
        <w:bidi w:val="0"/>
        <w:adjustRightInd/>
        <w:snapToGrid/>
        <w:spacing w:line="416" w:lineRule="auto"/>
        <w:ind w:left="0" w:leftChars="0" w:firstLine="0" w:firstLineChars="0"/>
        <w:textAlignment w:val="auto"/>
        <w:outlineLvl w:val="1"/>
        <w:rPr>
          <w:rFonts w:hint="eastAsia"/>
          <w:color w:val="auto"/>
        </w:rPr>
      </w:pPr>
      <w:bookmarkStart w:id="15" w:name="_Toc10943"/>
      <w:r>
        <w:rPr>
          <w:rFonts w:hint="eastAsia"/>
          <w:color w:val="auto"/>
          <w:lang w:eastAsia="zh-CN"/>
        </w:rPr>
        <w:t>对在我省行政区域内开发应税资源的单位和个人征收资源税</w:t>
      </w:r>
      <w:bookmarkEnd w:id="15"/>
    </w:p>
    <w:p>
      <w:pPr>
        <w:pStyle w:val="6"/>
        <w:keepNext w:val="0"/>
        <w:keepLines w:val="0"/>
        <w:pageBreakBefore w:val="0"/>
        <w:widowControl w:val="0"/>
        <w:kinsoku/>
        <w:wordWrap/>
        <w:overflowPunct/>
        <w:topLinePunct w:val="0"/>
        <w:autoSpaceDE/>
        <w:autoSpaceDN/>
        <w:bidi w:val="0"/>
        <w:textAlignment w:val="auto"/>
        <w:rPr>
          <w:rFonts w:hint="eastAsia"/>
        </w:rPr>
      </w:pPr>
      <w:r>
        <w:rPr>
          <w:rFonts w:hint="eastAsia"/>
        </w:rPr>
        <w:t>【政策内容】</w:t>
      </w:r>
    </w:p>
    <w:p>
      <w:pPr>
        <w:keepNext w:val="0"/>
        <w:keepLines w:val="0"/>
        <w:pageBreakBefore w:val="0"/>
        <w:widowControl w:val="0"/>
        <w:kinsoku/>
        <w:wordWrap/>
        <w:overflowPunct/>
        <w:topLinePunct w:val="0"/>
        <w:autoSpaceDE/>
        <w:autoSpaceDN/>
        <w:bidi w:val="0"/>
        <w:textAlignment w:val="auto"/>
        <w:rPr>
          <w:rFonts w:hint="eastAsia"/>
        </w:rPr>
      </w:pPr>
      <w:r>
        <w:rPr>
          <w:rFonts w:hint="eastAsia"/>
          <w:lang w:val="en-US" w:eastAsia="zh-CN"/>
        </w:rPr>
        <w:t>1.</w:t>
      </w:r>
      <w:r>
        <w:rPr>
          <w:rFonts w:hint="eastAsia"/>
        </w:rPr>
        <w:t>在我省行政区域内开发应税资源的单位和个人，为资源税的纳税人，应当依照《中华人民共和国资源税法》规定缴纳资源税。</w:t>
      </w:r>
    </w:p>
    <w:p>
      <w:pPr>
        <w:keepNext w:val="0"/>
        <w:keepLines w:val="0"/>
        <w:pageBreakBefore w:val="0"/>
        <w:widowControl w:val="0"/>
        <w:kinsoku/>
        <w:wordWrap/>
        <w:overflowPunct/>
        <w:topLinePunct w:val="0"/>
        <w:autoSpaceDE/>
        <w:autoSpaceDN/>
        <w:bidi w:val="0"/>
        <w:textAlignment w:val="auto"/>
        <w:rPr>
          <w:rFonts w:hint="eastAsia"/>
        </w:rPr>
      </w:pPr>
      <w:r>
        <w:rPr>
          <w:rFonts w:hint="eastAsia"/>
        </w:rPr>
        <w:t>应税资源的具体范围，由税法所附《资源税税目税率表》确定。</w:t>
      </w:r>
    </w:p>
    <w:p>
      <w:pPr>
        <w:keepNext w:val="0"/>
        <w:keepLines w:val="0"/>
        <w:pageBreakBefore w:val="0"/>
        <w:widowControl w:val="0"/>
        <w:kinsoku/>
        <w:wordWrap/>
        <w:overflowPunct/>
        <w:topLinePunct w:val="0"/>
        <w:autoSpaceDE/>
        <w:autoSpaceDN/>
        <w:bidi w:val="0"/>
        <w:textAlignment w:val="auto"/>
        <w:rPr>
          <w:rFonts w:hint="eastAsia"/>
        </w:rPr>
      </w:pPr>
      <w:r>
        <w:rPr>
          <w:rFonts w:hint="eastAsia"/>
          <w:lang w:val="en-US" w:eastAsia="zh-CN"/>
        </w:rPr>
        <w:t>2.</w:t>
      </w:r>
      <w:r>
        <w:rPr>
          <w:rFonts w:hint="eastAsia"/>
        </w:rPr>
        <w:t>资源税的税目、税率，依照《税目税率表》执行。</w:t>
      </w:r>
    </w:p>
    <w:p>
      <w:pPr>
        <w:keepNext w:val="0"/>
        <w:keepLines w:val="0"/>
        <w:pageBreakBefore w:val="0"/>
        <w:widowControl w:val="0"/>
        <w:kinsoku/>
        <w:wordWrap/>
        <w:overflowPunct/>
        <w:topLinePunct w:val="0"/>
        <w:autoSpaceDE/>
        <w:autoSpaceDN/>
        <w:bidi w:val="0"/>
        <w:textAlignment w:val="auto"/>
        <w:rPr>
          <w:rFonts w:hint="eastAsia"/>
        </w:rPr>
      </w:pPr>
      <w:r>
        <w:rPr>
          <w:rFonts w:hint="eastAsia"/>
        </w:rPr>
        <w:t>税法中《税目税率表》规定实行幅度税率的，其具体适用税率，按《黑龙江省人民代表大会常务委员会关于实施资源税法授权事项的决定》(2020年8月21日黑龙江省第十三届人民代表大会常务委员会第二十次会议通过)所附《黑龙江省资源税税目税率表》确定。</w:t>
      </w:r>
    </w:p>
    <w:p>
      <w:pPr>
        <w:pStyle w:val="2"/>
        <w:keepNext w:val="0"/>
        <w:keepLines w:val="0"/>
        <w:pageBreakBefore w:val="0"/>
        <w:widowControl w:val="0"/>
        <w:kinsoku/>
        <w:wordWrap/>
        <w:overflowPunct/>
        <w:topLinePunct w:val="0"/>
        <w:autoSpaceDE/>
        <w:autoSpaceDN/>
        <w:bidi w:val="0"/>
        <w:ind w:left="0" w:leftChars="0" w:firstLine="0" w:firstLineChars="0"/>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rPr>
          <w:rFonts w:hint="eastAsia"/>
          <w:lang w:val="en-US" w:eastAsia="zh-CN"/>
        </w:rPr>
      </w:pPr>
      <w:r>
        <w:rPr>
          <w:rFonts w:hint="eastAsia"/>
          <w:lang w:val="en-US" w:eastAsia="zh-CN"/>
        </w:rPr>
        <w:drawing>
          <wp:inline distT="0" distB="0" distL="114300" distR="114300">
            <wp:extent cx="5369560" cy="6737350"/>
            <wp:effectExtent l="0" t="0" r="10160" b="1397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8"/>
                    <a:stretch>
                      <a:fillRect/>
                    </a:stretch>
                  </pic:blipFill>
                  <pic:spPr>
                    <a:xfrm>
                      <a:off x="0" y="0"/>
                      <a:ext cx="5369560" cy="673735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ascii="微软雅黑" w:hAnsi="微软雅黑" w:eastAsia="微软雅黑" w:cs="宋体"/>
          <w:color w:val="333333"/>
          <w:kern w:val="0"/>
          <w:sz w:val="30"/>
          <w:szCs w:val="30"/>
        </w:rPr>
      </w:pPr>
      <w:r>
        <w:rPr>
          <w:rFonts w:ascii="微软雅黑" w:hAnsi="微软雅黑" w:eastAsia="微软雅黑" w:cs="宋体"/>
          <w:color w:val="333333"/>
          <w:kern w:val="0"/>
          <w:sz w:val="30"/>
          <w:szCs w:val="30"/>
        </w:rPr>
        <w:drawing>
          <wp:inline distT="0" distB="0" distL="114300" distR="114300">
            <wp:extent cx="5619750" cy="7778750"/>
            <wp:effectExtent l="0" t="0" r="3810" b="8890"/>
            <wp:docPr id="2" name="图片 2" descr="http://130.9.1.168/guoshui/action/ShowAppend.do?id=1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130.9.1.168/guoshui/action/ShowAppend.do?id=15114"/>
                    <pic:cNvPicPr>
                      <a:picLocks noChangeAspect="1"/>
                    </pic:cNvPicPr>
                  </pic:nvPicPr>
                  <pic:blipFill>
                    <a:blip r:embed="rId9"/>
                    <a:stretch>
                      <a:fillRect/>
                    </a:stretch>
                  </pic:blipFill>
                  <pic:spPr>
                    <a:xfrm>
                      <a:off x="0" y="0"/>
                      <a:ext cx="5619750" cy="777875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ascii="微软雅黑" w:hAnsi="微软雅黑" w:eastAsia="微软雅黑" w:cs="宋体"/>
          <w:color w:val="333333"/>
          <w:kern w:val="0"/>
          <w:sz w:val="30"/>
          <w:szCs w:val="30"/>
        </w:rPr>
      </w:pPr>
    </w:p>
    <w:p>
      <w:pPr>
        <w:pStyle w:val="2"/>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eastAsia" w:ascii="微软雅黑" w:hAnsi="微软雅黑" w:eastAsia="微软雅黑" w:cs="宋体"/>
          <w:color w:val="333333"/>
          <w:kern w:val="0"/>
          <w:sz w:val="30"/>
          <w:szCs w:val="30"/>
          <w:lang w:val="en-US" w:eastAsia="zh-CN"/>
        </w:rPr>
      </w:pPr>
    </w:p>
    <w:p>
      <w:pPr>
        <w:keepNext w:val="0"/>
        <w:keepLines w:val="0"/>
        <w:pageBreakBefore w:val="0"/>
        <w:widowControl w:val="0"/>
        <w:kinsoku/>
        <w:wordWrap/>
        <w:overflowPunct/>
        <w:topLinePunct w:val="0"/>
        <w:autoSpaceDE/>
        <w:autoSpaceDN/>
        <w:bidi w:val="0"/>
        <w:ind w:left="0" w:leftChars="0" w:firstLine="0" w:firstLineChars="0"/>
        <w:jc w:val="center"/>
        <w:textAlignment w:val="auto"/>
        <w:rPr>
          <w:rFonts w:hint="eastAsia" w:ascii="仿宋_GB2312" w:hAnsi="宋体" w:eastAsia="仿宋_GB2312" w:cs="宋体"/>
          <w:color w:val="333333"/>
          <w:kern w:val="0"/>
          <w:sz w:val="32"/>
          <w:szCs w:val="32"/>
          <w:lang w:val="en-US" w:eastAsia="zh-CN" w:bidi="ar-SA"/>
        </w:rPr>
      </w:pPr>
      <w:r>
        <w:rPr>
          <w:rFonts w:ascii="微软雅黑" w:hAnsi="微软雅黑" w:eastAsia="微软雅黑" w:cs="宋体"/>
          <w:color w:val="333333"/>
          <w:kern w:val="0"/>
          <w:sz w:val="30"/>
          <w:szCs w:val="30"/>
        </w:rPr>
        <w:drawing>
          <wp:inline distT="0" distB="0" distL="114300" distR="114300">
            <wp:extent cx="5534660" cy="8007985"/>
            <wp:effectExtent l="0" t="0" r="12700" b="8255"/>
            <wp:docPr id="3" name="图片 3" descr="http://130.9.1.168/guoshui/action/ShowAppend.do?id=1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130.9.1.168/guoshui/action/ShowAppend.do?id=15115"/>
                    <pic:cNvPicPr>
                      <a:picLocks noChangeAspect="1"/>
                    </pic:cNvPicPr>
                  </pic:nvPicPr>
                  <pic:blipFill>
                    <a:blip r:embed="rId10"/>
                    <a:stretch>
                      <a:fillRect/>
                    </a:stretch>
                  </pic:blipFill>
                  <pic:spPr>
                    <a:xfrm>
                      <a:off x="0" y="0"/>
                      <a:ext cx="5534660" cy="80079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ind w:left="0" w:leftChars="0" w:firstLine="0" w:firstLineChars="0"/>
        <w:jc w:val="center"/>
        <w:textAlignment w:val="auto"/>
        <w:rPr>
          <w:rFonts w:hint="eastAsia" w:ascii="微软雅黑" w:hAnsi="微软雅黑" w:eastAsia="微软雅黑" w:cs="微软雅黑"/>
          <w:i w:val="0"/>
          <w:caps w:val="0"/>
          <w:color w:val="333333"/>
          <w:spacing w:val="0"/>
          <w:sz w:val="22"/>
          <w:szCs w:val="22"/>
          <w:shd w:val="clear" w:color="auto" w:fill="FFFFFF"/>
        </w:rPr>
      </w:pPr>
      <w:r>
        <w:rPr>
          <w:rFonts w:hint="eastAsia" w:ascii="仿宋_GB2312" w:hAnsi="宋体" w:eastAsia="仿宋_GB2312" w:cs="宋体"/>
          <w:color w:val="333333"/>
          <w:kern w:val="0"/>
          <w:sz w:val="32"/>
          <w:szCs w:val="32"/>
          <w:lang w:val="en-US" w:eastAsia="zh-CN" w:bidi="ar-SA"/>
        </w:rPr>
        <w:drawing>
          <wp:inline distT="0" distB="0" distL="114300" distR="114300">
            <wp:extent cx="5203825" cy="8520430"/>
            <wp:effectExtent l="0" t="0" r="8255" b="1397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1"/>
                    <a:stretch>
                      <a:fillRect/>
                    </a:stretch>
                  </pic:blipFill>
                  <pic:spPr>
                    <a:xfrm>
                      <a:off x="0" y="0"/>
                      <a:ext cx="5203825" cy="8520430"/>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0"/>
          <w:sz w:val="22"/>
          <w:szCs w:val="22"/>
          <w:shd w:val="clear" w:color="auto" w:fill="FFFFFF"/>
        </w:rPr>
        <w:drawing>
          <wp:inline distT="0" distB="0" distL="114300" distR="114300">
            <wp:extent cx="5388610" cy="8416925"/>
            <wp:effectExtent l="0" t="0" r="6350" b="10795"/>
            <wp:docPr id="5"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7"/>
                    <pic:cNvPicPr>
                      <a:picLocks noChangeAspect="1"/>
                    </pic:cNvPicPr>
                  </pic:nvPicPr>
                  <pic:blipFill>
                    <a:blip r:embed="rId12"/>
                    <a:stretch>
                      <a:fillRect/>
                    </a:stretch>
                  </pic:blipFill>
                  <pic:spPr>
                    <a:xfrm>
                      <a:off x="0" y="0"/>
                      <a:ext cx="5388610" cy="8416925"/>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0"/>
          <w:sz w:val="22"/>
          <w:szCs w:val="22"/>
          <w:shd w:val="clear" w:color="auto" w:fill="FFFFFF"/>
        </w:rPr>
        <w:drawing>
          <wp:inline distT="0" distB="0" distL="114300" distR="114300">
            <wp:extent cx="5334000" cy="8132445"/>
            <wp:effectExtent l="0" t="0" r="0" b="5715"/>
            <wp:docPr id="6" name="图片 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8"/>
                    <pic:cNvPicPr>
                      <a:picLocks noChangeAspect="1"/>
                    </pic:cNvPicPr>
                  </pic:nvPicPr>
                  <pic:blipFill>
                    <a:blip r:embed="rId13"/>
                    <a:stretch>
                      <a:fillRect/>
                    </a:stretch>
                  </pic:blipFill>
                  <pic:spPr>
                    <a:xfrm>
                      <a:off x="0" y="0"/>
                      <a:ext cx="5334000" cy="8132445"/>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0"/>
          <w:sz w:val="22"/>
          <w:szCs w:val="22"/>
          <w:shd w:val="clear" w:color="auto" w:fill="FFFFFF"/>
        </w:rPr>
        <w:drawing>
          <wp:inline distT="0" distB="0" distL="114300" distR="114300">
            <wp:extent cx="5362575" cy="8182610"/>
            <wp:effectExtent l="0" t="0" r="1905" b="1270"/>
            <wp:docPr id="7" name="图片 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9"/>
                    <pic:cNvPicPr>
                      <a:picLocks noChangeAspect="1"/>
                    </pic:cNvPicPr>
                  </pic:nvPicPr>
                  <pic:blipFill>
                    <a:blip r:embed="rId14"/>
                    <a:stretch>
                      <a:fillRect/>
                    </a:stretch>
                  </pic:blipFill>
                  <pic:spPr>
                    <a:xfrm>
                      <a:off x="0" y="0"/>
                      <a:ext cx="5362575" cy="8182610"/>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0"/>
          <w:sz w:val="22"/>
          <w:szCs w:val="22"/>
          <w:shd w:val="clear" w:color="auto" w:fill="FFFFFF"/>
        </w:rPr>
        <w:br w:type="textWrapping"/>
      </w:r>
      <w:r>
        <w:rPr>
          <w:rFonts w:hint="eastAsia" w:ascii="微软雅黑" w:hAnsi="微软雅黑" w:eastAsia="微软雅黑" w:cs="微软雅黑"/>
          <w:i w:val="0"/>
          <w:caps w:val="0"/>
          <w:color w:val="333333"/>
          <w:spacing w:val="0"/>
          <w:sz w:val="22"/>
          <w:szCs w:val="22"/>
          <w:shd w:val="clear" w:color="auto" w:fill="FFFFFF"/>
        </w:rPr>
        <w:drawing>
          <wp:inline distT="0" distB="0" distL="114300" distR="114300">
            <wp:extent cx="5399405" cy="8133080"/>
            <wp:effectExtent l="0" t="0" r="10795" b="5080"/>
            <wp:docPr id="8" name="图片 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0"/>
                    <pic:cNvPicPr>
                      <a:picLocks noChangeAspect="1"/>
                    </pic:cNvPicPr>
                  </pic:nvPicPr>
                  <pic:blipFill>
                    <a:blip r:embed="rId15"/>
                    <a:stretch>
                      <a:fillRect/>
                    </a:stretch>
                  </pic:blipFill>
                  <pic:spPr>
                    <a:xfrm>
                      <a:off x="0" y="0"/>
                      <a:ext cx="5399405" cy="8133080"/>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0"/>
          <w:sz w:val="22"/>
          <w:szCs w:val="22"/>
          <w:shd w:val="clear" w:color="auto" w:fill="FFFFFF"/>
        </w:rPr>
        <w:br w:type="textWrapping"/>
      </w:r>
      <w:r>
        <w:rPr>
          <w:rFonts w:hint="eastAsia" w:ascii="微软雅黑" w:hAnsi="微软雅黑" w:eastAsia="微软雅黑" w:cs="微软雅黑"/>
          <w:i w:val="0"/>
          <w:caps w:val="0"/>
          <w:color w:val="333333"/>
          <w:spacing w:val="0"/>
          <w:sz w:val="22"/>
          <w:szCs w:val="22"/>
          <w:shd w:val="clear" w:color="auto" w:fill="FFFFFF"/>
        </w:rPr>
        <w:drawing>
          <wp:inline distT="0" distB="0" distL="114300" distR="114300">
            <wp:extent cx="5350510" cy="8218805"/>
            <wp:effectExtent l="0" t="0" r="13970" b="10795"/>
            <wp:docPr id="9" name="图片 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1"/>
                    <pic:cNvPicPr>
                      <a:picLocks noChangeAspect="1"/>
                    </pic:cNvPicPr>
                  </pic:nvPicPr>
                  <pic:blipFill>
                    <a:blip r:embed="rId16"/>
                    <a:stretch>
                      <a:fillRect/>
                    </a:stretch>
                  </pic:blipFill>
                  <pic:spPr>
                    <a:xfrm>
                      <a:off x="0" y="0"/>
                      <a:ext cx="5350510" cy="82188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textAlignment w:val="auto"/>
        <w:rPr>
          <w:rFonts w:hint="eastAsia" w:ascii="微软雅黑" w:hAnsi="微软雅黑" w:eastAsia="微软雅黑" w:cs="微软雅黑"/>
          <w:i w:val="0"/>
          <w:caps w:val="0"/>
          <w:color w:val="333333"/>
          <w:spacing w:val="0"/>
          <w:sz w:val="22"/>
          <w:szCs w:val="22"/>
          <w:shd w:val="clear" w:color="auto" w:fill="FFFFFF"/>
        </w:rPr>
      </w:pPr>
    </w:p>
    <w:p>
      <w:pPr>
        <w:keepNext w:val="0"/>
        <w:keepLines w:val="0"/>
        <w:pageBreakBefore w:val="0"/>
        <w:widowControl w:val="0"/>
        <w:kinsoku/>
        <w:wordWrap/>
        <w:overflowPunct/>
        <w:topLinePunct w:val="0"/>
        <w:autoSpaceDE/>
        <w:autoSpaceDN/>
        <w:bidi w:val="0"/>
        <w:ind w:left="0" w:leftChars="0" w:firstLine="0" w:firstLineChars="0"/>
        <w:jc w:val="center"/>
        <w:textAlignment w:val="auto"/>
        <w:rPr>
          <w:rFonts w:hint="eastAsia" w:ascii="微软雅黑" w:hAnsi="微软雅黑" w:eastAsia="微软雅黑" w:cs="微软雅黑"/>
          <w:i w:val="0"/>
          <w:caps w:val="0"/>
          <w:color w:val="333333"/>
          <w:spacing w:val="0"/>
          <w:sz w:val="22"/>
          <w:szCs w:val="22"/>
          <w:shd w:val="clear" w:color="auto" w:fill="FFFFFF"/>
          <w:lang w:eastAsia="zh-CN"/>
        </w:rPr>
      </w:pPr>
      <w:r>
        <w:rPr>
          <w:rFonts w:hint="eastAsia" w:ascii="微软雅黑" w:hAnsi="微软雅黑" w:eastAsia="微软雅黑" w:cs="微软雅黑"/>
          <w:i w:val="0"/>
          <w:caps w:val="0"/>
          <w:color w:val="333333"/>
          <w:spacing w:val="0"/>
          <w:sz w:val="22"/>
          <w:szCs w:val="22"/>
          <w:shd w:val="clear" w:color="auto" w:fill="FFFFFF"/>
          <w:lang w:eastAsia="zh-CN"/>
        </w:rPr>
        <w:drawing>
          <wp:inline distT="0" distB="0" distL="114300" distR="114300">
            <wp:extent cx="5492115" cy="7992110"/>
            <wp:effectExtent l="0" t="0" r="9525" b="8890"/>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17"/>
                    <a:stretch>
                      <a:fillRect/>
                    </a:stretch>
                  </pic:blipFill>
                  <pic:spPr>
                    <a:xfrm>
                      <a:off x="0" y="0"/>
                      <a:ext cx="5492115" cy="79921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ind w:left="0" w:leftChars="0" w:firstLine="0" w:firstLineChars="0"/>
        <w:jc w:val="both"/>
        <w:textAlignment w:val="auto"/>
        <w:rPr>
          <w:rFonts w:hint="eastAsia" w:ascii="微软雅黑" w:hAnsi="微软雅黑" w:eastAsia="微软雅黑" w:cs="微软雅黑"/>
          <w:i w:val="0"/>
          <w:caps w:val="0"/>
          <w:color w:val="333333"/>
          <w:spacing w:val="0"/>
          <w:sz w:val="22"/>
          <w:szCs w:val="22"/>
          <w:shd w:val="clear" w:color="auto" w:fill="FFFFFF"/>
        </w:rPr>
      </w:pPr>
      <w:r>
        <w:rPr>
          <w:rFonts w:hint="eastAsia" w:ascii="微软雅黑" w:hAnsi="微软雅黑" w:eastAsia="微软雅黑" w:cs="微软雅黑"/>
          <w:i w:val="0"/>
          <w:caps w:val="0"/>
          <w:color w:val="333333"/>
          <w:spacing w:val="0"/>
          <w:sz w:val="22"/>
          <w:szCs w:val="22"/>
          <w:shd w:val="clear" w:color="auto" w:fill="FFFFFF"/>
        </w:rPr>
        <w:drawing>
          <wp:inline distT="0" distB="0" distL="114300" distR="114300">
            <wp:extent cx="5295265" cy="8057515"/>
            <wp:effectExtent l="0" t="0" r="8255" b="4445"/>
            <wp:docPr id="11" name="图片 1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3"/>
                    <pic:cNvPicPr>
                      <a:picLocks noChangeAspect="1"/>
                    </pic:cNvPicPr>
                  </pic:nvPicPr>
                  <pic:blipFill>
                    <a:blip r:embed="rId18"/>
                    <a:stretch>
                      <a:fillRect/>
                    </a:stretch>
                  </pic:blipFill>
                  <pic:spPr>
                    <a:xfrm>
                      <a:off x="0" y="0"/>
                      <a:ext cx="5295265" cy="8057515"/>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0"/>
          <w:sz w:val="22"/>
          <w:szCs w:val="22"/>
          <w:shd w:val="clear" w:color="auto" w:fill="FFFFFF"/>
        </w:rPr>
        <w:drawing>
          <wp:inline distT="0" distB="0" distL="114300" distR="114300">
            <wp:extent cx="5587365" cy="8322310"/>
            <wp:effectExtent l="0" t="0" r="5715" b="13970"/>
            <wp:docPr id="12" name="图片 1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4"/>
                    <pic:cNvPicPr>
                      <a:picLocks noChangeAspect="1"/>
                    </pic:cNvPicPr>
                  </pic:nvPicPr>
                  <pic:blipFill>
                    <a:blip r:embed="rId19"/>
                    <a:stretch>
                      <a:fillRect/>
                    </a:stretch>
                  </pic:blipFill>
                  <pic:spPr>
                    <a:xfrm>
                      <a:off x="0" y="0"/>
                      <a:ext cx="5587365" cy="8322310"/>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0"/>
          <w:sz w:val="22"/>
          <w:szCs w:val="22"/>
          <w:shd w:val="clear" w:color="auto" w:fill="FFFFFF"/>
        </w:rPr>
        <w:br w:type="textWrapping"/>
      </w:r>
      <w:r>
        <w:rPr>
          <w:rFonts w:hint="eastAsia" w:ascii="微软雅黑" w:hAnsi="微软雅黑" w:eastAsia="微软雅黑" w:cs="微软雅黑"/>
          <w:i w:val="0"/>
          <w:caps w:val="0"/>
          <w:color w:val="333333"/>
          <w:spacing w:val="0"/>
          <w:sz w:val="22"/>
          <w:szCs w:val="22"/>
          <w:shd w:val="clear" w:color="auto" w:fill="FFFFFF"/>
        </w:rPr>
        <w:drawing>
          <wp:inline distT="0" distB="0" distL="114300" distR="114300">
            <wp:extent cx="5478780" cy="6410960"/>
            <wp:effectExtent l="0" t="0" r="7620" b="5080"/>
            <wp:docPr id="13" name="图片 1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5"/>
                    <pic:cNvPicPr>
                      <a:picLocks noChangeAspect="1"/>
                    </pic:cNvPicPr>
                  </pic:nvPicPr>
                  <pic:blipFill>
                    <a:blip r:embed="rId20"/>
                    <a:stretch>
                      <a:fillRect/>
                    </a:stretch>
                  </pic:blipFill>
                  <pic:spPr>
                    <a:xfrm>
                      <a:off x="0" y="0"/>
                      <a:ext cx="5478780" cy="641096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textAlignment w:val="auto"/>
        <w:rPr>
          <w:rFonts w:hint="eastAsia"/>
        </w:rPr>
      </w:pPr>
      <w:r>
        <w:rPr>
          <w:rFonts w:hint="eastAsia"/>
        </w:rPr>
        <w:t>【政策依据】</w:t>
      </w:r>
    </w:p>
    <w:p>
      <w:pPr>
        <w:pStyle w:val="20"/>
        <w:keepNext w:val="0"/>
        <w:keepLines w:val="0"/>
        <w:pageBreakBefore w:val="0"/>
        <w:widowControl w:val="0"/>
        <w:kinsoku/>
        <w:wordWrap/>
        <w:overflowPunct/>
        <w:topLinePunct w:val="0"/>
        <w:autoSpaceDE/>
        <w:autoSpaceDN/>
        <w:bidi w:val="0"/>
        <w:textAlignment w:val="auto"/>
        <w:rPr>
          <w:rFonts w:hint="eastAsia"/>
        </w:rPr>
      </w:pPr>
      <w:r>
        <w:rPr>
          <w:rFonts w:hint="eastAsia"/>
        </w:rPr>
        <w:t>1.《中华人民共和国资源税法》第一</w:t>
      </w:r>
      <w:r>
        <w:rPr>
          <w:rFonts w:hint="eastAsia"/>
          <w:lang w:eastAsia="zh-CN"/>
        </w:rPr>
        <w:t>条、第</w:t>
      </w:r>
      <w:r>
        <w:rPr>
          <w:rFonts w:hint="eastAsia"/>
        </w:rPr>
        <w:t>二条</w:t>
      </w:r>
    </w:p>
    <w:p>
      <w:pPr>
        <w:pStyle w:val="20"/>
        <w:keepNext w:val="0"/>
        <w:keepLines w:val="0"/>
        <w:pageBreakBefore w:val="0"/>
        <w:widowControl w:val="0"/>
        <w:kinsoku/>
        <w:wordWrap/>
        <w:overflowPunct/>
        <w:topLinePunct w:val="0"/>
        <w:autoSpaceDE/>
        <w:autoSpaceDN/>
        <w:bidi w:val="0"/>
        <w:textAlignment w:val="auto"/>
        <w:rPr>
          <w:rFonts w:hint="eastAsia"/>
        </w:rPr>
      </w:pPr>
      <w:r>
        <w:rPr>
          <w:rFonts w:hint="eastAsia"/>
        </w:rPr>
        <w:t>2.《黑龙江省人民代表大会常务委员会关于实施资源税法授权事项的决定》(2020年8月21日黑龙江省第十三届人民代表大会常务委员会第二十次会议通过)</w:t>
      </w:r>
    </w:p>
    <w:p>
      <w:pPr>
        <w:pStyle w:val="3"/>
        <w:keepNext w:val="0"/>
        <w:keepLines w:val="0"/>
        <w:pageBreakBefore w:val="0"/>
        <w:widowControl w:val="0"/>
        <w:kinsoku/>
        <w:wordWrap/>
        <w:overflowPunct/>
        <w:topLinePunct w:val="0"/>
        <w:autoSpaceDE/>
        <w:autoSpaceDN/>
        <w:bidi w:val="0"/>
        <w:textAlignment w:val="auto"/>
        <w:rPr>
          <w:rFonts w:hint="eastAsia"/>
          <w:lang w:val="en-US" w:eastAsia="zh-CN"/>
        </w:rPr>
      </w:pPr>
      <w:bookmarkStart w:id="16" w:name="_Toc15147"/>
      <w:r>
        <w:rPr>
          <w:rFonts w:hint="eastAsia"/>
          <w:lang w:eastAsia="zh-CN"/>
        </w:rPr>
        <w:t>第三部分</w:t>
      </w:r>
      <w:r>
        <w:rPr>
          <w:rFonts w:hint="eastAsia"/>
          <w:lang w:val="en-US" w:eastAsia="zh-CN"/>
        </w:rPr>
        <w:t xml:space="preserve"> 车船税</w:t>
      </w:r>
      <w:bookmarkEnd w:id="16"/>
    </w:p>
    <w:p>
      <w:pPr>
        <w:pStyle w:val="5"/>
        <w:keepNext w:val="0"/>
        <w:keepLines w:val="0"/>
        <w:pageBreakBefore w:val="0"/>
        <w:widowControl w:val="0"/>
        <w:numPr>
          <w:ilvl w:val="0"/>
          <w:numId w:val="1"/>
        </w:numPr>
        <w:kinsoku/>
        <w:wordWrap/>
        <w:overflowPunct/>
        <w:topLinePunct w:val="0"/>
        <w:autoSpaceDE/>
        <w:autoSpaceDN/>
        <w:bidi w:val="0"/>
        <w:adjustRightInd/>
        <w:snapToGrid/>
        <w:spacing w:line="416" w:lineRule="auto"/>
        <w:ind w:left="0" w:leftChars="0" w:firstLine="0" w:firstLineChars="0"/>
        <w:textAlignment w:val="auto"/>
        <w:outlineLvl w:val="1"/>
        <w:rPr>
          <w:rFonts w:hint="eastAsia"/>
        </w:rPr>
      </w:pPr>
      <w:bookmarkStart w:id="17" w:name="_Toc23252"/>
      <w:r>
        <w:rPr>
          <w:rFonts w:hint="eastAsia" w:ascii="宋体" w:hAnsi="宋体" w:eastAsia="宋体" w:cs="宋体"/>
        </w:rPr>
        <w:t>对车船按气缸排量和用途分类等征收车船税</w:t>
      </w:r>
      <w:bookmarkEnd w:id="17"/>
    </w:p>
    <w:p>
      <w:pPr>
        <w:pStyle w:val="6"/>
        <w:keepNext w:val="0"/>
        <w:keepLines w:val="0"/>
        <w:pageBreakBefore w:val="0"/>
        <w:widowControl w:val="0"/>
        <w:kinsoku/>
        <w:wordWrap/>
        <w:overflowPunct/>
        <w:topLinePunct w:val="0"/>
        <w:autoSpaceDE/>
        <w:autoSpaceDN/>
        <w:bidi w:val="0"/>
        <w:textAlignment w:val="auto"/>
        <w:rPr>
          <w:rFonts w:hint="default"/>
          <w:lang w:val="en-US" w:eastAsia="zh-CN"/>
        </w:rPr>
      </w:pPr>
      <w:r>
        <w:rPr>
          <w:rFonts w:hint="default"/>
          <w:lang w:val="en-US" w:eastAsia="zh-CN"/>
        </w:rPr>
        <w:t>【政策内容】</w:t>
      </w:r>
    </w:p>
    <w:p>
      <w:pPr>
        <w:keepNext w:val="0"/>
        <w:keepLines w:val="0"/>
        <w:pageBreakBefore w:val="0"/>
        <w:widowControl w:val="0"/>
        <w:kinsoku/>
        <w:wordWrap/>
        <w:overflowPunct/>
        <w:topLinePunct w:val="0"/>
        <w:autoSpaceDE/>
        <w:autoSpaceDN/>
        <w:bidi w:val="0"/>
        <w:textAlignment w:val="auto"/>
        <w:rPr>
          <w:rFonts w:hint="default"/>
          <w:lang w:val="en-US" w:eastAsia="zh-CN"/>
        </w:rPr>
      </w:pPr>
      <w:r>
        <w:rPr>
          <w:rFonts w:hint="default"/>
          <w:lang w:val="en-US" w:eastAsia="zh-CN"/>
        </w:rPr>
        <w:t>根据《黑龙江省车船税实施办法》中所附《黑龙江省车船税税目税额表》对车船按气缸排量和用途分类区别征收车船税。</w:t>
      </w:r>
    </w:p>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r>
        <w:rPr>
          <w:rFonts w:hint="eastAsia" w:ascii="Calibri" w:hAnsi="Calibri" w:eastAsia="宋体" w:cs="Times New Roman"/>
          <w:b/>
          <w:sz w:val="44"/>
          <w:szCs w:val="44"/>
        </w:rPr>
        <w:t>黑龙江省车船税税目税额表</w:t>
      </w:r>
    </w:p>
    <w:tbl>
      <w:tblPr>
        <w:tblStyle w:val="14"/>
        <w:tblW w:w="8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4"/>
        <w:gridCol w:w="507"/>
        <w:gridCol w:w="1553"/>
        <w:gridCol w:w="963"/>
        <w:gridCol w:w="1250"/>
        <w:gridCol w:w="2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3774" w:type="dxa"/>
            <w:gridSpan w:val="3"/>
            <w:noWrap w:val="0"/>
            <w:vAlign w:val="top"/>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28"/>
                <w:szCs w:val="28"/>
              </w:rPr>
            </w:pPr>
            <w:r>
              <w:rPr>
                <w:rFonts w:hint="eastAsia" w:ascii="Calibri" w:hAnsi="Calibri" w:eastAsia="宋体" w:cs="Times New Roman"/>
                <w:b/>
                <w:sz w:val="28"/>
                <w:szCs w:val="28"/>
              </w:rPr>
              <w:t>税目</w:t>
            </w:r>
          </w:p>
        </w:tc>
        <w:tc>
          <w:tcPr>
            <w:tcW w:w="963" w:type="dxa"/>
            <w:noWrap w:val="0"/>
            <w:vAlign w:val="top"/>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28"/>
                <w:szCs w:val="28"/>
              </w:rPr>
            </w:pPr>
            <w:r>
              <w:rPr>
                <w:rFonts w:hint="eastAsia" w:ascii="Calibri" w:hAnsi="Calibri" w:eastAsia="宋体" w:cs="Times New Roman"/>
                <w:b/>
                <w:sz w:val="28"/>
                <w:szCs w:val="28"/>
              </w:rPr>
              <w:t>计税单位</w:t>
            </w:r>
          </w:p>
        </w:tc>
        <w:tc>
          <w:tcPr>
            <w:tcW w:w="1250" w:type="dxa"/>
            <w:noWrap w:val="0"/>
            <w:vAlign w:val="top"/>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28"/>
                <w:szCs w:val="28"/>
              </w:rPr>
            </w:pPr>
            <w:r>
              <w:rPr>
                <w:rFonts w:hint="eastAsia" w:ascii="Calibri" w:hAnsi="Calibri" w:eastAsia="宋体" w:cs="Times New Roman"/>
                <w:b/>
                <w:sz w:val="28"/>
                <w:szCs w:val="28"/>
              </w:rPr>
              <w:t>年适用税额</w:t>
            </w:r>
          </w:p>
        </w:tc>
        <w:tc>
          <w:tcPr>
            <w:tcW w:w="2371" w:type="dxa"/>
            <w:noWrap w:val="0"/>
            <w:vAlign w:val="top"/>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28"/>
                <w:szCs w:val="28"/>
              </w:rPr>
            </w:pPr>
            <w:r>
              <w:rPr>
                <w:rFonts w:hint="eastAsia" w:ascii="Calibri" w:hAnsi="Calibri" w:eastAsia="宋体" w:cs="Times New Roman"/>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714" w:type="dxa"/>
            <w:vMerge w:val="restart"/>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乘用车{按发动机气缸容量（排气量）分档}</w:t>
            </w:r>
          </w:p>
        </w:tc>
        <w:tc>
          <w:tcPr>
            <w:tcW w:w="2060" w:type="dxa"/>
            <w:gridSpan w:val="2"/>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1.0升（含）以下的</w:t>
            </w:r>
          </w:p>
        </w:tc>
        <w:tc>
          <w:tcPr>
            <w:tcW w:w="963" w:type="dxa"/>
            <w:vMerge w:val="restart"/>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r>
              <w:rPr>
                <w:rFonts w:hint="eastAsia" w:ascii="仿宋" w:hAnsi="仿宋" w:eastAsia="仿宋" w:cs="Times New Roman"/>
                <w:sz w:val="21"/>
                <w:szCs w:val="21"/>
              </w:rPr>
              <w:t>每辆</w:t>
            </w:r>
          </w:p>
        </w:tc>
        <w:tc>
          <w:tcPr>
            <w:tcW w:w="125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240元</w:t>
            </w:r>
          </w:p>
        </w:tc>
        <w:tc>
          <w:tcPr>
            <w:tcW w:w="2371" w:type="dxa"/>
            <w:vMerge w:val="restart"/>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核定载客人数9人（含）以下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714"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p>
        </w:tc>
        <w:tc>
          <w:tcPr>
            <w:tcW w:w="2060" w:type="dxa"/>
            <w:gridSpan w:val="2"/>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r>
              <w:rPr>
                <w:rFonts w:hint="eastAsia" w:ascii="仿宋" w:hAnsi="仿宋" w:eastAsia="仿宋" w:cs="Times New Roman"/>
                <w:sz w:val="21"/>
                <w:szCs w:val="21"/>
              </w:rPr>
              <w:t>1.0升以上至1.6升（含）的</w:t>
            </w:r>
          </w:p>
        </w:tc>
        <w:tc>
          <w:tcPr>
            <w:tcW w:w="963"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p>
        </w:tc>
        <w:tc>
          <w:tcPr>
            <w:tcW w:w="125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420元</w:t>
            </w:r>
          </w:p>
        </w:tc>
        <w:tc>
          <w:tcPr>
            <w:tcW w:w="2371"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714"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p>
        </w:tc>
        <w:tc>
          <w:tcPr>
            <w:tcW w:w="2060" w:type="dxa"/>
            <w:gridSpan w:val="2"/>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r>
              <w:rPr>
                <w:rFonts w:hint="eastAsia" w:ascii="仿宋" w:hAnsi="仿宋" w:eastAsia="仿宋" w:cs="Times New Roman"/>
                <w:sz w:val="21"/>
                <w:szCs w:val="21"/>
              </w:rPr>
              <w:t>1.6升以上至2.0升（含）的</w:t>
            </w:r>
          </w:p>
        </w:tc>
        <w:tc>
          <w:tcPr>
            <w:tcW w:w="963"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p>
        </w:tc>
        <w:tc>
          <w:tcPr>
            <w:tcW w:w="125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480元</w:t>
            </w:r>
          </w:p>
        </w:tc>
        <w:tc>
          <w:tcPr>
            <w:tcW w:w="2371"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714"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p>
        </w:tc>
        <w:tc>
          <w:tcPr>
            <w:tcW w:w="2060" w:type="dxa"/>
            <w:gridSpan w:val="2"/>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r>
              <w:rPr>
                <w:rFonts w:hint="eastAsia" w:ascii="仿宋" w:hAnsi="仿宋" w:eastAsia="仿宋" w:cs="Times New Roman"/>
                <w:sz w:val="21"/>
                <w:szCs w:val="21"/>
              </w:rPr>
              <w:t>2.0升以上至2.5升（含）的</w:t>
            </w:r>
          </w:p>
        </w:tc>
        <w:tc>
          <w:tcPr>
            <w:tcW w:w="963"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p>
        </w:tc>
        <w:tc>
          <w:tcPr>
            <w:tcW w:w="125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900元</w:t>
            </w:r>
          </w:p>
        </w:tc>
        <w:tc>
          <w:tcPr>
            <w:tcW w:w="2371"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714"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p>
        </w:tc>
        <w:tc>
          <w:tcPr>
            <w:tcW w:w="2060" w:type="dxa"/>
            <w:gridSpan w:val="2"/>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r>
              <w:rPr>
                <w:rFonts w:hint="eastAsia" w:ascii="仿宋" w:hAnsi="仿宋" w:eastAsia="仿宋" w:cs="Times New Roman"/>
                <w:sz w:val="21"/>
                <w:szCs w:val="21"/>
              </w:rPr>
              <w:t>2.5升以上至3.0升（含）的</w:t>
            </w:r>
          </w:p>
        </w:tc>
        <w:tc>
          <w:tcPr>
            <w:tcW w:w="963"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p>
        </w:tc>
        <w:tc>
          <w:tcPr>
            <w:tcW w:w="125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1800元</w:t>
            </w:r>
          </w:p>
        </w:tc>
        <w:tc>
          <w:tcPr>
            <w:tcW w:w="2371"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714"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p>
        </w:tc>
        <w:tc>
          <w:tcPr>
            <w:tcW w:w="2060" w:type="dxa"/>
            <w:gridSpan w:val="2"/>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r>
              <w:rPr>
                <w:rFonts w:hint="eastAsia" w:ascii="仿宋" w:hAnsi="仿宋" w:eastAsia="仿宋" w:cs="Times New Roman"/>
                <w:sz w:val="21"/>
                <w:szCs w:val="21"/>
              </w:rPr>
              <w:t>3.0升以上至4.0升（含）的</w:t>
            </w:r>
          </w:p>
        </w:tc>
        <w:tc>
          <w:tcPr>
            <w:tcW w:w="963"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p>
        </w:tc>
        <w:tc>
          <w:tcPr>
            <w:tcW w:w="125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3000元</w:t>
            </w:r>
          </w:p>
        </w:tc>
        <w:tc>
          <w:tcPr>
            <w:tcW w:w="2371"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714"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p>
        </w:tc>
        <w:tc>
          <w:tcPr>
            <w:tcW w:w="2060" w:type="dxa"/>
            <w:gridSpan w:val="2"/>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r>
              <w:rPr>
                <w:rFonts w:hint="eastAsia" w:ascii="仿宋" w:hAnsi="仿宋" w:eastAsia="仿宋" w:cs="Times New Roman"/>
                <w:sz w:val="21"/>
                <w:szCs w:val="21"/>
              </w:rPr>
              <w:t>4.0升以上的</w:t>
            </w:r>
          </w:p>
        </w:tc>
        <w:tc>
          <w:tcPr>
            <w:tcW w:w="963"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p>
        </w:tc>
        <w:tc>
          <w:tcPr>
            <w:tcW w:w="125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4500元</w:t>
            </w:r>
          </w:p>
        </w:tc>
        <w:tc>
          <w:tcPr>
            <w:tcW w:w="2371"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714" w:type="dxa"/>
            <w:vMerge w:val="restart"/>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商用车</w:t>
            </w:r>
          </w:p>
        </w:tc>
        <w:tc>
          <w:tcPr>
            <w:tcW w:w="507" w:type="dxa"/>
            <w:vMerge w:val="restart"/>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客车</w:t>
            </w:r>
          </w:p>
        </w:tc>
        <w:tc>
          <w:tcPr>
            <w:tcW w:w="1553"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中型</w:t>
            </w:r>
          </w:p>
        </w:tc>
        <w:tc>
          <w:tcPr>
            <w:tcW w:w="963" w:type="dxa"/>
            <w:vMerge w:val="restart"/>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r>
              <w:rPr>
                <w:rFonts w:hint="eastAsia" w:ascii="仿宋" w:hAnsi="仿宋" w:eastAsia="仿宋" w:cs="Times New Roman"/>
                <w:sz w:val="21"/>
                <w:szCs w:val="21"/>
              </w:rPr>
              <w:t>每辆</w:t>
            </w:r>
          </w:p>
        </w:tc>
        <w:tc>
          <w:tcPr>
            <w:tcW w:w="125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900元</w:t>
            </w:r>
          </w:p>
        </w:tc>
        <w:tc>
          <w:tcPr>
            <w:tcW w:w="2371"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r>
              <w:rPr>
                <w:rFonts w:hint="eastAsia" w:ascii="仿宋" w:hAnsi="仿宋" w:eastAsia="仿宋" w:cs="Times New Roman"/>
                <w:sz w:val="21"/>
                <w:szCs w:val="21"/>
              </w:rPr>
              <w:t>核定载客人数9人（含）以上20人以下，包括电车。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714"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c>
          <w:tcPr>
            <w:tcW w:w="507"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c>
          <w:tcPr>
            <w:tcW w:w="1553"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大型</w:t>
            </w:r>
          </w:p>
        </w:tc>
        <w:tc>
          <w:tcPr>
            <w:tcW w:w="963"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p>
        </w:tc>
        <w:tc>
          <w:tcPr>
            <w:tcW w:w="125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1020元</w:t>
            </w:r>
          </w:p>
        </w:tc>
        <w:tc>
          <w:tcPr>
            <w:tcW w:w="2371"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r>
              <w:rPr>
                <w:rFonts w:hint="eastAsia" w:ascii="仿宋" w:hAnsi="仿宋" w:eastAsia="仿宋" w:cs="Times New Roman"/>
                <w:sz w:val="21"/>
                <w:szCs w:val="21"/>
              </w:rPr>
              <w:t>核定载客人数20人（含）以上，包括电车。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714"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c>
          <w:tcPr>
            <w:tcW w:w="2060" w:type="dxa"/>
            <w:gridSpan w:val="2"/>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货车</w:t>
            </w:r>
          </w:p>
        </w:tc>
        <w:tc>
          <w:tcPr>
            <w:tcW w:w="963"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r>
              <w:rPr>
                <w:rFonts w:hint="eastAsia" w:ascii="仿宋" w:hAnsi="仿宋" w:eastAsia="仿宋" w:cs="Times New Roman"/>
                <w:sz w:val="21"/>
                <w:szCs w:val="21"/>
              </w:rPr>
              <w:t>载备质量每吨</w:t>
            </w:r>
          </w:p>
        </w:tc>
        <w:tc>
          <w:tcPr>
            <w:tcW w:w="125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96元</w:t>
            </w:r>
          </w:p>
        </w:tc>
        <w:tc>
          <w:tcPr>
            <w:tcW w:w="2371"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r>
              <w:rPr>
                <w:rFonts w:hint="eastAsia" w:ascii="仿宋" w:hAnsi="仿宋" w:eastAsia="仿宋" w:cs="Times New Roman"/>
                <w:sz w:val="21"/>
                <w:szCs w:val="21"/>
              </w:rPr>
              <w:t>包括半挂牵引车、三轮汽车、和低速载货汽车等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714"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挂车</w:t>
            </w:r>
          </w:p>
        </w:tc>
        <w:tc>
          <w:tcPr>
            <w:tcW w:w="2060" w:type="dxa"/>
            <w:gridSpan w:val="2"/>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c>
          <w:tcPr>
            <w:tcW w:w="963"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r>
              <w:rPr>
                <w:rFonts w:hint="eastAsia" w:ascii="仿宋" w:hAnsi="仿宋" w:eastAsia="仿宋" w:cs="Times New Roman"/>
                <w:sz w:val="21"/>
                <w:szCs w:val="21"/>
              </w:rPr>
              <w:t>载备质量每吨</w:t>
            </w:r>
          </w:p>
        </w:tc>
        <w:tc>
          <w:tcPr>
            <w:tcW w:w="125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48元</w:t>
            </w:r>
          </w:p>
        </w:tc>
        <w:tc>
          <w:tcPr>
            <w:tcW w:w="2371"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r>
              <w:rPr>
                <w:rFonts w:hint="eastAsia" w:ascii="仿宋" w:hAnsi="仿宋" w:eastAsia="仿宋" w:cs="Times New Roman"/>
                <w:sz w:val="21"/>
                <w:szCs w:val="21"/>
              </w:rPr>
              <w:t>按照货车税额的50%计算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714"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其他车辆</w:t>
            </w:r>
          </w:p>
        </w:tc>
        <w:tc>
          <w:tcPr>
            <w:tcW w:w="2060" w:type="dxa"/>
            <w:gridSpan w:val="2"/>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专用作业车、轮式专用作业车</w:t>
            </w:r>
          </w:p>
        </w:tc>
        <w:tc>
          <w:tcPr>
            <w:tcW w:w="963"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r>
              <w:rPr>
                <w:rFonts w:hint="eastAsia" w:ascii="仿宋" w:hAnsi="仿宋" w:eastAsia="仿宋" w:cs="Times New Roman"/>
                <w:sz w:val="21"/>
                <w:szCs w:val="21"/>
              </w:rPr>
              <w:t>载备质量每吨</w:t>
            </w:r>
          </w:p>
        </w:tc>
        <w:tc>
          <w:tcPr>
            <w:tcW w:w="125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96元</w:t>
            </w:r>
          </w:p>
        </w:tc>
        <w:tc>
          <w:tcPr>
            <w:tcW w:w="2371"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Calibri" w:hAnsi="Calibri" w:eastAsia="宋体" w:cs="Times New Roman"/>
                <w:b/>
                <w:sz w:val="44"/>
                <w:szCs w:val="44"/>
              </w:rPr>
            </w:pPr>
            <w:r>
              <w:rPr>
                <w:rFonts w:hint="eastAsia" w:ascii="仿宋" w:hAnsi="仿宋" w:eastAsia="仿宋" w:cs="Times New Roman"/>
                <w:sz w:val="21"/>
                <w:szCs w:val="21"/>
              </w:rPr>
              <w:t>不包括拖拉机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714"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摩托车</w:t>
            </w:r>
          </w:p>
        </w:tc>
        <w:tc>
          <w:tcPr>
            <w:tcW w:w="2060" w:type="dxa"/>
            <w:gridSpan w:val="2"/>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c>
          <w:tcPr>
            <w:tcW w:w="963"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每辆</w:t>
            </w:r>
          </w:p>
        </w:tc>
        <w:tc>
          <w:tcPr>
            <w:tcW w:w="125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36</w:t>
            </w:r>
          </w:p>
        </w:tc>
        <w:tc>
          <w:tcPr>
            <w:tcW w:w="2371"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714" w:type="dxa"/>
            <w:vMerge w:val="restart"/>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船舶</w:t>
            </w:r>
          </w:p>
        </w:tc>
        <w:tc>
          <w:tcPr>
            <w:tcW w:w="507" w:type="dxa"/>
            <w:vMerge w:val="restart"/>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机动船舶</w:t>
            </w:r>
          </w:p>
        </w:tc>
        <w:tc>
          <w:tcPr>
            <w:tcW w:w="1553"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不超过200吨</w:t>
            </w:r>
          </w:p>
        </w:tc>
        <w:tc>
          <w:tcPr>
            <w:tcW w:w="963"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净吨位每吨</w:t>
            </w:r>
          </w:p>
        </w:tc>
        <w:tc>
          <w:tcPr>
            <w:tcW w:w="125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3元</w:t>
            </w:r>
          </w:p>
        </w:tc>
        <w:tc>
          <w:tcPr>
            <w:tcW w:w="2371"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714" w:type="dxa"/>
            <w:vMerge w:val="continue"/>
            <w:noWrap w:val="0"/>
            <w:vAlign w:val="top"/>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c>
          <w:tcPr>
            <w:tcW w:w="507"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c>
          <w:tcPr>
            <w:tcW w:w="1553"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超过200吨但不超过2000吨</w:t>
            </w:r>
          </w:p>
        </w:tc>
        <w:tc>
          <w:tcPr>
            <w:tcW w:w="963"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净吨位每吨</w:t>
            </w:r>
          </w:p>
        </w:tc>
        <w:tc>
          <w:tcPr>
            <w:tcW w:w="125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4元</w:t>
            </w:r>
          </w:p>
        </w:tc>
        <w:tc>
          <w:tcPr>
            <w:tcW w:w="2371"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714" w:type="dxa"/>
            <w:vMerge w:val="continue"/>
            <w:noWrap w:val="0"/>
            <w:vAlign w:val="top"/>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c>
          <w:tcPr>
            <w:tcW w:w="507"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c>
          <w:tcPr>
            <w:tcW w:w="1553"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超过2000吨但不超过10000吨</w:t>
            </w:r>
          </w:p>
        </w:tc>
        <w:tc>
          <w:tcPr>
            <w:tcW w:w="963"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净吨位每吨</w:t>
            </w:r>
          </w:p>
        </w:tc>
        <w:tc>
          <w:tcPr>
            <w:tcW w:w="125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5元</w:t>
            </w:r>
          </w:p>
        </w:tc>
        <w:tc>
          <w:tcPr>
            <w:tcW w:w="2371"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714" w:type="dxa"/>
            <w:vMerge w:val="continue"/>
            <w:noWrap w:val="0"/>
            <w:vAlign w:val="top"/>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c>
          <w:tcPr>
            <w:tcW w:w="507"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c>
          <w:tcPr>
            <w:tcW w:w="1553"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超过10000吨</w:t>
            </w:r>
          </w:p>
        </w:tc>
        <w:tc>
          <w:tcPr>
            <w:tcW w:w="963"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净吨位每吨</w:t>
            </w:r>
          </w:p>
        </w:tc>
        <w:tc>
          <w:tcPr>
            <w:tcW w:w="125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6元</w:t>
            </w:r>
          </w:p>
        </w:tc>
        <w:tc>
          <w:tcPr>
            <w:tcW w:w="2371"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714" w:type="dxa"/>
            <w:vMerge w:val="continue"/>
            <w:noWrap w:val="0"/>
            <w:vAlign w:val="top"/>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c>
          <w:tcPr>
            <w:tcW w:w="507" w:type="dxa"/>
            <w:vMerge w:val="restart"/>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游艇</w:t>
            </w:r>
          </w:p>
        </w:tc>
        <w:tc>
          <w:tcPr>
            <w:tcW w:w="1553"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不超过10米</w:t>
            </w:r>
          </w:p>
        </w:tc>
        <w:tc>
          <w:tcPr>
            <w:tcW w:w="963"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艇身长度每米</w:t>
            </w:r>
          </w:p>
        </w:tc>
        <w:tc>
          <w:tcPr>
            <w:tcW w:w="125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600元</w:t>
            </w:r>
          </w:p>
        </w:tc>
        <w:tc>
          <w:tcPr>
            <w:tcW w:w="2371"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714" w:type="dxa"/>
            <w:vMerge w:val="continue"/>
            <w:noWrap w:val="0"/>
            <w:vAlign w:val="top"/>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c>
          <w:tcPr>
            <w:tcW w:w="507"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c>
          <w:tcPr>
            <w:tcW w:w="1553"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超过10米但不超过18米</w:t>
            </w:r>
          </w:p>
        </w:tc>
        <w:tc>
          <w:tcPr>
            <w:tcW w:w="963"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艇身长度每米</w:t>
            </w:r>
          </w:p>
        </w:tc>
        <w:tc>
          <w:tcPr>
            <w:tcW w:w="125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900元</w:t>
            </w:r>
          </w:p>
        </w:tc>
        <w:tc>
          <w:tcPr>
            <w:tcW w:w="2371"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714" w:type="dxa"/>
            <w:vMerge w:val="continue"/>
            <w:noWrap w:val="0"/>
            <w:vAlign w:val="top"/>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c>
          <w:tcPr>
            <w:tcW w:w="507"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c>
          <w:tcPr>
            <w:tcW w:w="1553"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超过18米但不超过30米</w:t>
            </w:r>
          </w:p>
        </w:tc>
        <w:tc>
          <w:tcPr>
            <w:tcW w:w="963"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艇身长度每米</w:t>
            </w:r>
          </w:p>
        </w:tc>
        <w:tc>
          <w:tcPr>
            <w:tcW w:w="125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1300元</w:t>
            </w:r>
          </w:p>
        </w:tc>
        <w:tc>
          <w:tcPr>
            <w:tcW w:w="2371"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714" w:type="dxa"/>
            <w:vMerge w:val="continue"/>
            <w:noWrap w:val="0"/>
            <w:vAlign w:val="top"/>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c>
          <w:tcPr>
            <w:tcW w:w="507"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c>
          <w:tcPr>
            <w:tcW w:w="1553"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超过30米</w:t>
            </w:r>
          </w:p>
        </w:tc>
        <w:tc>
          <w:tcPr>
            <w:tcW w:w="963"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艇身长度每米</w:t>
            </w:r>
          </w:p>
        </w:tc>
        <w:tc>
          <w:tcPr>
            <w:tcW w:w="125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2000元</w:t>
            </w:r>
          </w:p>
        </w:tc>
        <w:tc>
          <w:tcPr>
            <w:tcW w:w="2371"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714" w:type="dxa"/>
            <w:vMerge w:val="continue"/>
            <w:noWrap w:val="0"/>
            <w:vAlign w:val="top"/>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c>
          <w:tcPr>
            <w:tcW w:w="507" w:type="dxa"/>
            <w:vMerge w:val="continue"/>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c>
          <w:tcPr>
            <w:tcW w:w="1553"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辅助动力帆艇</w:t>
            </w:r>
          </w:p>
        </w:tc>
        <w:tc>
          <w:tcPr>
            <w:tcW w:w="963"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艇身长度每米</w:t>
            </w:r>
          </w:p>
        </w:tc>
        <w:tc>
          <w:tcPr>
            <w:tcW w:w="1250"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r>
              <w:rPr>
                <w:rFonts w:hint="eastAsia" w:ascii="仿宋" w:hAnsi="仿宋" w:eastAsia="仿宋" w:cs="Times New Roman"/>
                <w:sz w:val="21"/>
                <w:szCs w:val="21"/>
              </w:rPr>
              <w:t>600元</w:t>
            </w:r>
          </w:p>
        </w:tc>
        <w:tc>
          <w:tcPr>
            <w:tcW w:w="2371" w:type="dxa"/>
            <w:noWrap w:val="0"/>
            <w:vAlign w:val="center"/>
          </w:tcPr>
          <w:p>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Times New Roman"/>
                <w:sz w:val="21"/>
                <w:szCs w:val="21"/>
              </w:rPr>
            </w:pPr>
          </w:p>
        </w:tc>
      </w:tr>
    </w:tbl>
    <w:p>
      <w:pPr>
        <w:keepNext w:val="0"/>
        <w:keepLines w:val="0"/>
        <w:pageBreakBefore w:val="0"/>
        <w:widowControl w:val="0"/>
        <w:kinsoku/>
        <w:wordWrap/>
        <w:overflowPunct/>
        <w:topLinePunct w:val="0"/>
        <w:autoSpaceDE/>
        <w:autoSpaceDN/>
        <w:bidi w:val="0"/>
        <w:ind w:left="0" w:leftChars="0" w:firstLine="0" w:firstLineChars="0"/>
        <w:textAlignment w:val="auto"/>
        <w:rPr>
          <w:rFonts w:hint="default"/>
          <w:lang w:val="en-US" w:eastAsia="zh-CN"/>
        </w:rPr>
      </w:pPr>
    </w:p>
    <w:p>
      <w:pPr>
        <w:pStyle w:val="6"/>
        <w:keepNext w:val="0"/>
        <w:keepLines w:val="0"/>
        <w:pageBreakBefore w:val="0"/>
        <w:widowControl w:val="0"/>
        <w:kinsoku/>
        <w:wordWrap/>
        <w:overflowPunct/>
        <w:topLinePunct w:val="0"/>
        <w:autoSpaceDE/>
        <w:autoSpaceDN/>
        <w:bidi w:val="0"/>
        <w:textAlignment w:val="auto"/>
        <w:rPr>
          <w:rFonts w:hint="default"/>
          <w:lang w:val="en-US" w:eastAsia="zh-CN"/>
        </w:rPr>
      </w:pPr>
      <w:r>
        <w:rPr>
          <w:rFonts w:hint="default"/>
          <w:lang w:val="en-US" w:eastAsia="zh-CN"/>
        </w:rPr>
        <w:t>【政策依据】</w:t>
      </w:r>
    </w:p>
    <w:p>
      <w:pPr>
        <w:pStyle w:val="20"/>
        <w:keepNext w:val="0"/>
        <w:keepLines w:val="0"/>
        <w:pageBreakBefore w:val="0"/>
        <w:widowControl w:val="0"/>
        <w:kinsoku/>
        <w:wordWrap/>
        <w:overflowPunct/>
        <w:topLinePunct w:val="0"/>
        <w:autoSpaceDE/>
        <w:autoSpaceDN/>
        <w:bidi w:val="0"/>
        <w:textAlignment w:val="auto"/>
        <w:rPr>
          <w:rFonts w:hint="default"/>
          <w:lang w:val="en-US" w:eastAsia="zh-CN"/>
        </w:rPr>
      </w:pPr>
      <w:r>
        <w:rPr>
          <w:rFonts w:hint="default"/>
          <w:lang w:val="en-US" w:eastAsia="zh-CN"/>
        </w:rPr>
        <w:t>1.《中华人民共和国车船税法》第二条</w:t>
      </w:r>
    </w:p>
    <w:p>
      <w:pPr>
        <w:pStyle w:val="20"/>
        <w:keepNext w:val="0"/>
        <w:keepLines w:val="0"/>
        <w:pageBreakBefore w:val="0"/>
        <w:widowControl w:val="0"/>
        <w:kinsoku/>
        <w:wordWrap/>
        <w:overflowPunct/>
        <w:topLinePunct w:val="0"/>
        <w:autoSpaceDE/>
        <w:autoSpaceDN/>
        <w:bidi w:val="0"/>
        <w:textAlignment w:val="auto"/>
        <w:rPr>
          <w:rFonts w:hint="default"/>
          <w:lang w:val="en-US" w:eastAsia="zh-CN"/>
        </w:rPr>
      </w:pPr>
      <w:r>
        <w:rPr>
          <w:rFonts w:hint="default"/>
          <w:lang w:val="en-US" w:eastAsia="zh-CN"/>
        </w:rPr>
        <w:t>2.《黑龙江省人民政府关于印发黑龙江省车船税实施办法的通知》（黑政发〔2011〕100号）</w:t>
      </w:r>
    </w:p>
    <w:p>
      <w:pPr>
        <w:keepNext w:val="0"/>
        <w:keepLines w:val="0"/>
        <w:pageBreakBefore w:val="0"/>
        <w:widowControl w:val="0"/>
        <w:kinsoku/>
        <w:wordWrap/>
        <w:overflowPunct/>
        <w:topLinePunct w:val="0"/>
        <w:autoSpaceDE/>
        <w:autoSpaceDN/>
        <w:bidi w:val="0"/>
        <w:textAlignment w:val="auto"/>
        <w:rPr>
          <w:rFonts w:hint="default"/>
          <w:lang w:val="en-US" w:eastAsia="zh-CN"/>
        </w:rPr>
      </w:pPr>
    </w:p>
    <w:p>
      <w:pPr>
        <w:keepNext w:val="0"/>
        <w:keepLines w:val="0"/>
        <w:pageBreakBefore w:val="0"/>
        <w:widowControl w:val="0"/>
        <w:kinsoku/>
        <w:wordWrap/>
        <w:overflowPunct/>
        <w:topLinePunct w:val="0"/>
        <w:autoSpaceDE/>
        <w:autoSpaceDN/>
        <w:bidi w:val="0"/>
        <w:textAlignment w:val="auto"/>
        <w:rPr>
          <w:rFonts w:hint="default"/>
          <w:lang w:val="en-US" w:eastAsia="zh-CN"/>
        </w:rPr>
      </w:pPr>
    </w:p>
    <w:p>
      <w:pPr>
        <w:pStyle w:val="3"/>
        <w:keepNext w:val="0"/>
        <w:keepLines w:val="0"/>
        <w:pageBreakBefore w:val="0"/>
        <w:widowControl w:val="0"/>
        <w:kinsoku/>
        <w:wordWrap/>
        <w:overflowPunct/>
        <w:topLinePunct w:val="0"/>
        <w:autoSpaceDE/>
        <w:autoSpaceDN/>
        <w:bidi w:val="0"/>
        <w:textAlignment w:val="auto"/>
        <w:rPr>
          <w:rFonts w:hint="eastAsia"/>
          <w:lang w:val="en-US" w:eastAsia="zh-CN"/>
        </w:rPr>
      </w:pPr>
      <w:bookmarkStart w:id="18" w:name="_Toc30015"/>
      <w:r>
        <w:rPr>
          <w:rFonts w:hint="eastAsia"/>
          <w:lang w:eastAsia="zh-CN"/>
        </w:rPr>
        <w:t>第四部分</w:t>
      </w:r>
      <w:r>
        <w:rPr>
          <w:rFonts w:hint="eastAsia"/>
          <w:lang w:val="en-US" w:eastAsia="zh-CN"/>
        </w:rPr>
        <w:t xml:space="preserve"> 环境保护税</w:t>
      </w:r>
      <w:bookmarkEnd w:id="18"/>
    </w:p>
    <w:p>
      <w:pPr>
        <w:pStyle w:val="5"/>
        <w:keepNext w:val="0"/>
        <w:keepLines w:val="0"/>
        <w:pageBreakBefore w:val="0"/>
        <w:widowControl w:val="0"/>
        <w:numPr>
          <w:ilvl w:val="0"/>
          <w:numId w:val="1"/>
        </w:numPr>
        <w:kinsoku/>
        <w:wordWrap/>
        <w:overflowPunct/>
        <w:topLinePunct w:val="0"/>
        <w:autoSpaceDE/>
        <w:autoSpaceDN/>
        <w:bidi w:val="0"/>
        <w:adjustRightInd/>
        <w:snapToGrid/>
        <w:spacing w:line="416" w:lineRule="auto"/>
        <w:ind w:left="0" w:leftChars="0" w:firstLine="0" w:firstLineChars="0"/>
        <w:textAlignment w:val="auto"/>
        <w:outlineLvl w:val="1"/>
        <w:rPr>
          <w:rFonts w:hint="eastAsia"/>
        </w:rPr>
      </w:pPr>
      <w:bookmarkStart w:id="19" w:name="_Toc13621"/>
      <w:r>
        <w:rPr>
          <w:rFonts w:hint="eastAsia" w:ascii="宋体" w:hAnsi="宋体" w:eastAsia="宋体" w:cs="宋体"/>
        </w:rPr>
        <w:t>“多排多征、少排少征、不排不征”的</w:t>
      </w:r>
      <w:r>
        <w:rPr>
          <w:rFonts w:hint="eastAsia" w:cs="宋体"/>
          <w:lang w:val="en-US" w:eastAsia="zh-CN"/>
        </w:rPr>
        <w:t>征收</w:t>
      </w:r>
      <w:r>
        <w:rPr>
          <w:rFonts w:hint="eastAsia" w:ascii="宋体" w:hAnsi="宋体" w:eastAsia="宋体" w:cs="宋体"/>
        </w:rPr>
        <w:t>机制</w:t>
      </w:r>
      <w:bookmarkEnd w:id="19"/>
    </w:p>
    <w:p>
      <w:pPr>
        <w:pStyle w:val="6"/>
        <w:keepNext w:val="0"/>
        <w:keepLines w:val="0"/>
        <w:pageBreakBefore w:val="0"/>
        <w:widowControl w:val="0"/>
        <w:kinsoku/>
        <w:wordWrap/>
        <w:overflowPunct/>
        <w:topLinePunct w:val="0"/>
        <w:autoSpaceDE/>
        <w:autoSpaceDN/>
        <w:bidi w:val="0"/>
        <w:textAlignment w:val="auto"/>
        <w:rPr>
          <w:rFonts w:hint="eastAsia"/>
        </w:rPr>
      </w:pPr>
      <w:r>
        <w:rPr>
          <w:rFonts w:hint="eastAsia"/>
        </w:rPr>
        <w:t>【政策内容】</w:t>
      </w:r>
    </w:p>
    <w:p>
      <w:pPr>
        <w:bidi w:val="0"/>
        <w:rPr>
          <w:rFonts w:hint="eastAsia"/>
        </w:rPr>
      </w:pPr>
      <w:r>
        <w:rPr>
          <w:rFonts w:hint="eastAsia"/>
          <w:lang w:val="en-US" w:eastAsia="zh-CN"/>
        </w:rPr>
        <w:t>1.</w:t>
      </w:r>
      <w:r>
        <w:rPr>
          <w:rFonts w:hint="eastAsia"/>
        </w:rPr>
        <w:t>在中华人民共和国领域和中华人民共和国管辖的其他海域，直接向环境排放应税污染物的企业事业单位和其他生产经营者为环境保护税的纳税人，应当依照本法规定缴纳环境保护税。</w:t>
      </w:r>
    </w:p>
    <w:p>
      <w:pPr>
        <w:bidi w:val="0"/>
        <w:rPr>
          <w:rFonts w:hint="eastAsia"/>
        </w:rPr>
      </w:pPr>
      <w:r>
        <w:rPr>
          <w:rFonts w:hint="eastAsia"/>
          <w:lang w:val="en-US" w:eastAsia="zh-CN"/>
        </w:rPr>
        <w:t>2.</w:t>
      </w:r>
      <w:r>
        <w:rPr>
          <w:rFonts w:hint="eastAsia"/>
        </w:rPr>
        <w:t>本法所称应税污染物，是指本法所附</w:t>
      </w:r>
      <w:r>
        <w:rPr>
          <w:rFonts w:hint="eastAsia"/>
          <w:highlight w:val="none"/>
        </w:rPr>
        <w:t>《环境保护税税目税额表》、《应税污染物和当量值表》</w:t>
      </w:r>
      <w:r>
        <w:rPr>
          <w:rFonts w:hint="eastAsia"/>
        </w:rPr>
        <w:t>规定的大气污染物、水污染物、固体废物和噪声。</w:t>
      </w:r>
    </w:p>
    <w:p>
      <w:pPr>
        <w:bidi w:val="0"/>
        <w:rPr>
          <w:rFonts w:hint="eastAsia"/>
        </w:rPr>
      </w:pPr>
      <w:r>
        <w:rPr>
          <w:rFonts w:hint="eastAsia"/>
          <w:lang w:val="en-US" w:eastAsia="zh-CN"/>
        </w:rPr>
        <w:t>3.</w:t>
      </w:r>
      <w:r>
        <w:rPr>
          <w:rFonts w:hint="eastAsia"/>
        </w:rPr>
        <w:t>环境保护税的税目、税额，依照本法所附</w:t>
      </w:r>
      <w:r>
        <w:rPr>
          <w:rFonts w:hint="eastAsia"/>
          <w:highlight w:val="none"/>
        </w:rPr>
        <w:t>《环境保护税税目税额表》</w:t>
      </w:r>
      <w:r>
        <w:rPr>
          <w:rFonts w:hint="eastAsia"/>
        </w:rPr>
        <w:t>执行。</w:t>
      </w:r>
    </w:p>
    <w:p>
      <w:pPr>
        <w:bidi w:val="0"/>
        <w:rPr>
          <w:rFonts w:hint="eastAsia"/>
          <w:color w:val="FF0000"/>
          <w:highlight w:val="none"/>
          <w:lang w:eastAsia="zh-CN"/>
        </w:rPr>
      </w:pPr>
      <w:r>
        <w:rPr>
          <w:rFonts w:hint="eastAsia"/>
          <w:highlight w:val="none"/>
        </w:rPr>
        <w:t>应税大气污染物和水污染物的具体适用税额的确定和调整，由省、自治区、直辖市人民政府统筹考虑本地区环境承载能力、污染物排放现状和经济社会生态发展目标要求，在本法所附《环境保护税税目税额表》规定的税额幅度内提出，报同级人民代表大会常务委员会决定，并报全国人民代表大会常务委员会和国务院备案。</w:t>
      </w:r>
    </w:p>
    <w:p>
      <w:pPr>
        <w:bidi w:val="0"/>
        <w:rPr>
          <w:rFonts w:hint="eastAsia"/>
          <w:lang w:eastAsia="zh-CN"/>
        </w:rPr>
      </w:pPr>
      <w:r>
        <w:rPr>
          <w:rFonts w:hint="eastAsia"/>
          <w:lang w:eastAsia="zh-CN"/>
        </w:rPr>
        <w:t>环境保护税我省应税大气污染物适用税额为每污染当量1.2元，应税水污染物适用税额为每污染当量1.4元。同一排放口应税污染物项目数不作增加。</w:t>
      </w:r>
    </w:p>
    <w:p>
      <w:pPr>
        <w:bidi w:val="0"/>
        <w:rPr>
          <w:rFonts w:hint="eastAsia"/>
        </w:rPr>
      </w:pPr>
      <w:r>
        <w:rPr>
          <w:rFonts w:hint="eastAsia"/>
          <w:lang w:val="en-US" w:eastAsia="zh-CN"/>
        </w:rPr>
        <w:t>4.</w:t>
      </w:r>
      <w:r>
        <w:rPr>
          <w:rFonts w:hint="eastAsia"/>
        </w:rPr>
        <w:t>应税污染物的计税依据，按照下列方法确定：</w:t>
      </w:r>
    </w:p>
    <w:p>
      <w:pPr>
        <w:bidi w:val="0"/>
        <w:outlineLvl w:val="1"/>
        <w:rPr>
          <w:rFonts w:hint="eastAsia"/>
        </w:rPr>
      </w:pPr>
      <w:bookmarkStart w:id="20" w:name="_Toc27211"/>
      <w:bookmarkStart w:id="21" w:name="_Toc5468"/>
      <w:bookmarkStart w:id="22" w:name="_Toc12565"/>
      <w:r>
        <w:rPr>
          <w:rFonts w:hint="eastAsia"/>
          <w:lang w:eastAsia="zh-CN"/>
        </w:rPr>
        <w:t>（</w:t>
      </w:r>
      <w:r>
        <w:rPr>
          <w:rFonts w:hint="eastAsia"/>
          <w:lang w:val="en-US" w:eastAsia="zh-CN"/>
        </w:rPr>
        <w:t>1</w:t>
      </w:r>
      <w:r>
        <w:rPr>
          <w:rFonts w:hint="eastAsia"/>
          <w:lang w:eastAsia="zh-CN"/>
        </w:rPr>
        <w:t>）</w:t>
      </w:r>
      <w:r>
        <w:rPr>
          <w:rFonts w:hint="eastAsia"/>
        </w:rPr>
        <w:t>应税大气污染物按照污染物排放量折合的污染当量数确定；</w:t>
      </w:r>
      <w:bookmarkEnd w:id="20"/>
      <w:bookmarkEnd w:id="21"/>
      <w:bookmarkEnd w:id="22"/>
    </w:p>
    <w:p>
      <w:pPr>
        <w:bidi w:val="0"/>
        <w:outlineLvl w:val="1"/>
        <w:rPr>
          <w:rFonts w:hint="eastAsia"/>
        </w:rPr>
      </w:pPr>
      <w:bookmarkStart w:id="23" w:name="_Toc25058"/>
      <w:bookmarkStart w:id="24" w:name="_Toc27581"/>
      <w:bookmarkStart w:id="25" w:name="_Toc30502"/>
      <w:r>
        <w:rPr>
          <w:rFonts w:hint="eastAsia"/>
          <w:lang w:eastAsia="zh-CN"/>
        </w:rPr>
        <w:t>（</w:t>
      </w:r>
      <w:r>
        <w:rPr>
          <w:rFonts w:hint="eastAsia"/>
          <w:lang w:val="en-US" w:eastAsia="zh-CN"/>
        </w:rPr>
        <w:t>2）</w:t>
      </w:r>
      <w:r>
        <w:rPr>
          <w:rFonts w:hint="eastAsia"/>
        </w:rPr>
        <w:t>应税水污染物按照污染物排放量折合的污染当量数确定；</w:t>
      </w:r>
      <w:bookmarkEnd w:id="23"/>
      <w:bookmarkEnd w:id="24"/>
      <w:bookmarkEnd w:id="25"/>
    </w:p>
    <w:p>
      <w:pPr>
        <w:bidi w:val="0"/>
        <w:outlineLvl w:val="1"/>
        <w:rPr>
          <w:rFonts w:hint="eastAsia"/>
        </w:rPr>
      </w:pPr>
      <w:bookmarkStart w:id="26" w:name="_Toc16203"/>
      <w:bookmarkStart w:id="27" w:name="_Toc26786"/>
      <w:bookmarkStart w:id="28" w:name="_Toc31312"/>
      <w:r>
        <w:rPr>
          <w:rFonts w:hint="eastAsia"/>
          <w:lang w:eastAsia="zh-CN"/>
        </w:rPr>
        <w:t>（</w:t>
      </w:r>
      <w:r>
        <w:rPr>
          <w:rFonts w:hint="eastAsia"/>
          <w:lang w:val="en-US" w:eastAsia="zh-CN"/>
        </w:rPr>
        <w:t>3）</w:t>
      </w:r>
      <w:r>
        <w:rPr>
          <w:rFonts w:hint="eastAsia"/>
        </w:rPr>
        <w:t>应税固体废物按照固体废物的排放量确定；</w:t>
      </w:r>
      <w:bookmarkEnd w:id="26"/>
      <w:bookmarkEnd w:id="27"/>
      <w:bookmarkEnd w:id="28"/>
    </w:p>
    <w:p>
      <w:pPr>
        <w:bidi w:val="0"/>
        <w:outlineLvl w:val="1"/>
        <w:rPr>
          <w:rFonts w:hint="eastAsia"/>
        </w:rPr>
      </w:pPr>
      <w:bookmarkStart w:id="29" w:name="_Toc29110"/>
      <w:bookmarkStart w:id="30" w:name="_Toc20222"/>
      <w:bookmarkStart w:id="31" w:name="_Toc22903"/>
      <w:r>
        <w:rPr>
          <w:rFonts w:hint="eastAsia"/>
          <w:lang w:eastAsia="zh-CN"/>
        </w:rPr>
        <w:t>（</w:t>
      </w:r>
      <w:r>
        <w:rPr>
          <w:rFonts w:hint="eastAsia"/>
          <w:lang w:val="en-US" w:eastAsia="zh-CN"/>
        </w:rPr>
        <w:t>4）</w:t>
      </w:r>
      <w:r>
        <w:rPr>
          <w:rFonts w:hint="eastAsia"/>
        </w:rPr>
        <w:t>应税噪声按照超过国家规定标准的分贝数确定。</w:t>
      </w:r>
      <w:bookmarkEnd w:id="29"/>
      <w:bookmarkEnd w:id="30"/>
      <w:bookmarkEnd w:id="31"/>
    </w:p>
    <w:p>
      <w:pPr>
        <w:keepNext w:val="0"/>
        <w:keepLines w:val="0"/>
        <w:pageBreakBefore w:val="0"/>
        <w:widowControl/>
        <w:shd w:val="clear" w:color="auto" w:fill="FFFFFF"/>
        <w:kinsoku/>
        <w:wordWrap/>
        <w:overflowPunct/>
        <w:topLinePunct w:val="0"/>
        <w:autoSpaceDE/>
        <w:autoSpaceDN/>
        <w:bidi w:val="0"/>
        <w:adjustRightInd/>
        <w:snapToGrid/>
        <w:ind w:firstLine="0" w:firstLineChars="0"/>
        <w:jc w:val="center"/>
        <w:textAlignment w:val="auto"/>
        <w:rPr>
          <w:rFonts w:ascii="宋体" w:hAnsi="宋体" w:cs="宋体"/>
          <w:color w:val="333333"/>
          <w:kern w:val="0"/>
          <w:sz w:val="32"/>
          <w:szCs w:val="32"/>
        </w:rPr>
      </w:pPr>
      <w:r>
        <w:rPr>
          <w:rFonts w:ascii="宋体" w:hAnsi="宋体" w:cs="宋体"/>
          <w:color w:val="333333"/>
          <w:kern w:val="0"/>
          <w:sz w:val="32"/>
          <w:szCs w:val="32"/>
        </w:rPr>
        <w:drawing>
          <wp:inline distT="0" distB="0" distL="114300" distR="114300">
            <wp:extent cx="5832475" cy="8262620"/>
            <wp:effectExtent l="0" t="0" r="4445" b="12700"/>
            <wp:docPr id="14" name="图片 15" descr="http://130.9.1.168/guoshui/action/ShowAppend.do?id=1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http://130.9.1.168/guoshui/action/ShowAppend.do?id=12941"/>
                    <pic:cNvPicPr>
                      <a:picLocks noChangeAspect="1"/>
                    </pic:cNvPicPr>
                  </pic:nvPicPr>
                  <pic:blipFill>
                    <a:blip r:embed="rId21"/>
                    <a:stretch>
                      <a:fillRect/>
                    </a:stretch>
                  </pic:blipFill>
                  <pic:spPr>
                    <a:xfrm>
                      <a:off x="0" y="0"/>
                      <a:ext cx="5832475" cy="8262620"/>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ind w:firstLine="0" w:firstLineChars="0"/>
        <w:jc w:val="center"/>
        <w:textAlignment w:val="auto"/>
        <w:rPr>
          <w:rFonts w:hint="eastAsia"/>
        </w:rPr>
      </w:pPr>
      <w:r>
        <w:rPr>
          <w:rFonts w:ascii="宋体" w:hAnsi="宋体" w:cs="宋体"/>
          <w:color w:val="333333"/>
          <w:kern w:val="0"/>
          <w:sz w:val="32"/>
          <w:szCs w:val="32"/>
        </w:rPr>
        <w:drawing>
          <wp:inline distT="0" distB="0" distL="114300" distR="114300">
            <wp:extent cx="5274310" cy="7489190"/>
            <wp:effectExtent l="0" t="0" r="13970" b="8890"/>
            <wp:docPr id="15" name="图片 16" descr="C:\Users\Administrator\Desktop\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C:\Users\Administrator\Desktop\untitled.bmp"/>
                    <pic:cNvPicPr>
                      <a:picLocks noChangeAspect="1"/>
                    </pic:cNvPicPr>
                  </pic:nvPicPr>
                  <pic:blipFill>
                    <a:blip r:embed="rId22"/>
                    <a:stretch>
                      <a:fillRect/>
                    </a:stretch>
                  </pic:blipFill>
                  <pic:spPr>
                    <a:xfrm>
                      <a:off x="0" y="0"/>
                      <a:ext cx="5274310" cy="7489190"/>
                    </a:xfrm>
                    <a:prstGeom prst="rect">
                      <a:avLst/>
                    </a:prstGeom>
                    <a:noFill/>
                    <a:ln>
                      <a:noFill/>
                    </a:ln>
                  </pic:spPr>
                </pic:pic>
              </a:graphicData>
            </a:graphic>
          </wp:inline>
        </w:drawing>
      </w:r>
      <w:r>
        <w:rPr>
          <w:rFonts w:ascii="宋体" w:hAnsi="宋体" w:cs="宋体"/>
          <w:color w:val="333333"/>
          <w:kern w:val="0"/>
          <w:sz w:val="32"/>
          <w:szCs w:val="32"/>
        </w:rPr>
        <w:drawing>
          <wp:inline distT="0" distB="0" distL="114300" distR="114300">
            <wp:extent cx="5274310" cy="7465060"/>
            <wp:effectExtent l="0" t="0" r="13970" b="2540"/>
            <wp:docPr id="16" name="图片 17" descr="C:\Users\Administrator\Desktop\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C:\Users\Administrator\Desktop\untitled.bmp"/>
                    <pic:cNvPicPr>
                      <a:picLocks noChangeAspect="1"/>
                    </pic:cNvPicPr>
                  </pic:nvPicPr>
                  <pic:blipFill>
                    <a:blip r:embed="rId23"/>
                    <a:stretch>
                      <a:fillRect/>
                    </a:stretch>
                  </pic:blipFill>
                  <pic:spPr>
                    <a:xfrm>
                      <a:off x="0" y="0"/>
                      <a:ext cx="5274310" cy="7465060"/>
                    </a:xfrm>
                    <a:prstGeom prst="rect">
                      <a:avLst/>
                    </a:prstGeom>
                    <a:noFill/>
                    <a:ln>
                      <a:noFill/>
                    </a:ln>
                  </pic:spPr>
                </pic:pic>
              </a:graphicData>
            </a:graphic>
          </wp:inline>
        </w:drawing>
      </w:r>
      <w:r>
        <w:rPr>
          <w:rFonts w:ascii="宋体" w:hAnsi="宋体" w:cs="宋体"/>
          <w:color w:val="333333"/>
          <w:kern w:val="0"/>
          <w:sz w:val="32"/>
          <w:szCs w:val="32"/>
        </w:rPr>
        <w:drawing>
          <wp:inline distT="0" distB="0" distL="114300" distR="114300">
            <wp:extent cx="5274310" cy="7505700"/>
            <wp:effectExtent l="0" t="0" r="13970" b="7620"/>
            <wp:docPr id="17" name="图片 18" descr="C:\Users\Administrator\Desktop\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C:\Users\Administrator\Desktop\untitled.bmp"/>
                    <pic:cNvPicPr>
                      <a:picLocks noChangeAspect="1"/>
                    </pic:cNvPicPr>
                  </pic:nvPicPr>
                  <pic:blipFill>
                    <a:blip r:embed="rId24"/>
                    <a:stretch>
                      <a:fillRect/>
                    </a:stretch>
                  </pic:blipFill>
                  <pic:spPr>
                    <a:xfrm>
                      <a:off x="0" y="0"/>
                      <a:ext cx="5274310" cy="7505700"/>
                    </a:xfrm>
                    <a:prstGeom prst="rect">
                      <a:avLst/>
                    </a:prstGeom>
                    <a:noFill/>
                    <a:ln>
                      <a:noFill/>
                    </a:ln>
                  </pic:spPr>
                </pic:pic>
              </a:graphicData>
            </a:graphic>
          </wp:inline>
        </w:drawing>
      </w:r>
      <w:r>
        <w:rPr>
          <w:rFonts w:ascii="宋体" w:hAnsi="宋体" w:cs="宋体"/>
          <w:color w:val="333333"/>
          <w:kern w:val="0"/>
          <w:sz w:val="32"/>
          <w:szCs w:val="32"/>
        </w:rPr>
        <w:drawing>
          <wp:inline distT="0" distB="0" distL="114300" distR="114300">
            <wp:extent cx="5274310" cy="7489190"/>
            <wp:effectExtent l="0" t="0" r="13970" b="8890"/>
            <wp:docPr id="18" name="图片 19" descr="C:\Users\Administrator\Desktop\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C:\Users\Administrator\Desktop\untitled.bmp"/>
                    <pic:cNvPicPr>
                      <a:picLocks noChangeAspect="1"/>
                    </pic:cNvPicPr>
                  </pic:nvPicPr>
                  <pic:blipFill>
                    <a:blip r:embed="rId25"/>
                    <a:stretch>
                      <a:fillRect/>
                    </a:stretch>
                  </pic:blipFill>
                  <pic:spPr>
                    <a:xfrm>
                      <a:off x="0" y="0"/>
                      <a:ext cx="5274310" cy="7489190"/>
                    </a:xfrm>
                    <a:prstGeom prst="rect">
                      <a:avLst/>
                    </a:prstGeom>
                    <a:noFill/>
                    <a:ln>
                      <a:noFill/>
                    </a:ln>
                  </pic:spPr>
                </pic:pic>
              </a:graphicData>
            </a:graphic>
          </wp:inline>
        </w:drawing>
      </w:r>
      <w:r>
        <w:rPr>
          <w:rFonts w:ascii="宋体" w:hAnsi="宋体" w:cs="宋体"/>
          <w:color w:val="333333"/>
          <w:kern w:val="0"/>
          <w:sz w:val="32"/>
          <w:szCs w:val="32"/>
        </w:rPr>
        <w:drawing>
          <wp:inline distT="0" distB="0" distL="114300" distR="114300">
            <wp:extent cx="5274310" cy="7489190"/>
            <wp:effectExtent l="0" t="0" r="13970" b="8890"/>
            <wp:docPr id="19" name="图片 20" descr="C:\Users\Administrator\Desktop\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C:\Users\Administrator\Desktop\untitled.bmp"/>
                    <pic:cNvPicPr>
                      <a:picLocks noChangeAspect="1"/>
                    </pic:cNvPicPr>
                  </pic:nvPicPr>
                  <pic:blipFill>
                    <a:blip r:embed="rId26"/>
                    <a:stretch>
                      <a:fillRect/>
                    </a:stretch>
                  </pic:blipFill>
                  <pic:spPr>
                    <a:xfrm>
                      <a:off x="0" y="0"/>
                      <a:ext cx="5274310" cy="7489190"/>
                    </a:xfrm>
                    <a:prstGeom prst="rect">
                      <a:avLst/>
                    </a:prstGeom>
                    <a:noFill/>
                    <a:ln>
                      <a:noFill/>
                    </a:ln>
                  </pic:spPr>
                </pic:pic>
              </a:graphicData>
            </a:graphic>
          </wp:inline>
        </w:drawing>
      </w:r>
      <w:r>
        <w:rPr>
          <w:rFonts w:ascii="宋体" w:hAnsi="宋体" w:cs="宋体"/>
          <w:color w:val="333333"/>
          <w:kern w:val="0"/>
          <w:sz w:val="32"/>
          <w:szCs w:val="32"/>
        </w:rPr>
        <w:drawing>
          <wp:inline distT="0" distB="0" distL="114300" distR="114300">
            <wp:extent cx="5274310" cy="6580505"/>
            <wp:effectExtent l="0" t="0" r="13970" b="3175"/>
            <wp:docPr id="20" name="图片 21" descr="C:\Users\Administrator\Desktop\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C:\Users\Administrator\Desktop\untitled.bmp"/>
                    <pic:cNvPicPr>
                      <a:picLocks noChangeAspect="1"/>
                    </pic:cNvPicPr>
                  </pic:nvPicPr>
                  <pic:blipFill>
                    <a:blip r:embed="rId27"/>
                    <a:stretch>
                      <a:fillRect/>
                    </a:stretch>
                  </pic:blipFill>
                  <pic:spPr>
                    <a:xfrm>
                      <a:off x="0" y="0"/>
                      <a:ext cx="5274310" cy="658050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textAlignment w:val="auto"/>
        <w:rPr>
          <w:rFonts w:hint="eastAsia"/>
        </w:rPr>
      </w:pPr>
      <w:r>
        <w:rPr>
          <w:rFonts w:hint="eastAsia"/>
        </w:rPr>
        <w:t>【政策依据】</w:t>
      </w:r>
    </w:p>
    <w:p>
      <w:pPr>
        <w:pStyle w:val="20"/>
        <w:keepNext w:val="0"/>
        <w:keepLines w:val="0"/>
        <w:pageBreakBefore w:val="0"/>
        <w:widowControl w:val="0"/>
        <w:kinsoku/>
        <w:wordWrap/>
        <w:overflowPunct/>
        <w:topLinePunct w:val="0"/>
        <w:autoSpaceDE/>
        <w:autoSpaceDN/>
        <w:bidi w:val="0"/>
        <w:textAlignment w:val="auto"/>
        <w:rPr>
          <w:rFonts w:hint="eastAsia"/>
        </w:rPr>
      </w:pPr>
      <w:r>
        <w:rPr>
          <w:rFonts w:hint="eastAsia"/>
        </w:rPr>
        <w:t>《中华人民共和国环境保护税法》第二条、第三条、第六条、第七条</w:t>
      </w:r>
    </w:p>
    <w:p>
      <w:pPr>
        <w:keepNext w:val="0"/>
        <w:keepLines w:val="0"/>
        <w:pageBreakBefore w:val="0"/>
        <w:widowControl w:val="0"/>
        <w:kinsoku/>
        <w:wordWrap/>
        <w:overflowPunct/>
        <w:topLinePunct w:val="0"/>
        <w:autoSpaceDE/>
        <w:autoSpaceDN/>
        <w:bidi w:val="0"/>
        <w:textAlignment w:val="auto"/>
        <w:rPr>
          <w:rFonts w:hint="eastAsia"/>
        </w:rPr>
      </w:pPr>
    </w:p>
    <w:p>
      <w:pPr>
        <w:pStyle w:val="5"/>
        <w:keepNext w:val="0"/>
        <w:keepLines w:val="0"/>
        <w:pageBreakBefore w:val="0"/>
        <w:widowControl w:val="0"/>
        <w:numPr>
          <w:ilvl w:val="0"/>
          <w:numId w:val="1"/>
        </w:numPr>
        <w:kinsoku/>
        <w:wordWrap/>
        <w:overflowPunct/>
        <w:topLinePunct w:val="0"/>
        <w:autoSpaceDE/>
        <w:autoSpaceDN/>
        <w:bidi w:val="0"/>
        <w:adjustRightInd/>
        <w:snapToGrid/>
        <w:spacing w:line="416" w:lineRule="auto"/>
        <w:ind w:left="0" w:leftChars="0" w:firstLine="0" w:firstLineChars="0"/>
        <w:textAlignment w:val="auto"/>
        <w:outlineLvl w:val="1"/>
        <w:rPr>
          <w:rFonts w:hint="eastAsia"/>
          <w:color w:val="auto"/>
        </w:rPr>
      </w:pPr>
      <w:bookmarkStart w:id="32" w:name="_Toc5502"/>
      <w:r>
        <w:rPr>
          <w:rFonts w:hint="eastAsia"/>
          <w:color w:val="auto"/>
          <w:lang w:val="en-US" w:eastAsia="zh-CN"/>
        </w:rPr>
        <w:t>对企事业单位向符合条件的场所排放符合标准的污染物不征收环境保护税</w:t>
      </w:r>
      <w:bookmarkEnd w:id="32"/>
    </w:p>
    <w:p>
      <w:pPr>
        <w:pStyle w:val="6"/>
        <w:keepNext w:val="0"/>
        <w:keepLines w:val="0"/>
        <w:pageBreakBefore w:val="0"/>
        <w:widowControl w:val="0"/>
        <w:kinsoku/>
        <w:wordWrap/>
        <w:overflowPunct/>
        <w:topLinePunct w:val="0"/>
        <w:autoSpaceDE/>
        <w:autoSpaceDN/>
        <w:bidi w:val="0"/>
        <w:textAlignment w:val="auto"/>
        <w:rPr>
          <w:rFonts w:hint="eastAsia"/>
        </w:rPr>
      </w:pPr>
      <w:r>
        <w:rPr>
          <w:rFonts w:hint="eastAsia"/>
        </w:rPr>
        <w:t>【政策内容】</w:t>
      </w:r>
    </w:p>
    <w:p>
      <w:pPr>
        <w:keepNext w:val="0"/>
        <w:keepLines w:val="0"/>
        <w:pageBreakBefore w:val="0"/>
        <w:widowControl w:val="0"/>
        <w:kinsoku/>
        <w:wordWrap/>
        <w:overflowPunct/>
        <w:topLinePunct w:val="0"/>
        <w:autoSpaceDE/>
        <w:autoSpaceDN/>
        <w:bidi w:val="0"/>
        <w:textAlignment w:val="auto"/>
        <w:rPr>
          <w:rFonts w:hint="eastAsia"/>
        </w:rPr>
      </w:pPr>
      <w:r>
        <w:rPr>
          <w:rFonts w:hint="eastAsia"/>
        </w:rPr>
        <w:t>有下列情形之一的，不属于直接向环境排放污染物，不缴纳相应污染物的环境保护税：</w:t>
      </w:r>
    </w:p>
    <w:p>
      <w:pPr>
        <w:keepNext w:val="0"/>
        <w:keepLines w:val="0"/>
        <w:pageBreakBefore w:val="0"/>
        <w:widowControl w:val="0"/>
        <w:kinsoku/>
        <w:wordWrap/>
        <w:overflowPunct/>
        <w:topLinePunct w:val="0"/>
        <w:autoSpaceDE/>
        <w:autoSpaceDN/>
        <w:bidi w:val="0"/>
        <w:textAlignment w:val="auto"/>
        <w:rPr>
          <w:rFonts w:hint="eastAsia"/>
        </w:rPr>
      </w:pPr>
      <w:r>
        <w:rPr>
          <w:rFonts w:hint="eastAsia"/>
        </w:rPr>
        <w:t>1.企业事业单位和其他生产经营者向依法设立的污水集中处理、生活垃圾集中处理场所排放应税污染物的；</w:t>
      </w:r>
    </w:p>
    <w:p>
      <w:pPr>
        <w:keepNext w:val="0"/>
        <w:keepLines w:val="0"/>
        <w:pageBreakBefore w:val="0"/>
        <w:widowControl w:val="0"/>
        <w:kinsoku/>
        <w:wordWrap/>
        <w:overflowPunct/>
        <w:topLinePunct w:val="0"/>
        <w:autoSpaceDE/>
        <w:autoSpaceDN/>
        <w:bidi w:val="0"/>
        <w:textAlignment w:val="auto"/>
        <w:rPr>
          <w:rFonts w:hint="eastAsia"/>
        </w:rPr>
      </w:pPr>
      <w:r>
        <w:rPr>
          <w:rFonts w:hint="eastAsia"/>
        </w:rPr>
        <w:t>2.企业事业单位和其他生产经营者在符合国家和地方环境保护标准的设施、场所贮存或者处置固体废物的。</w:t>
      </w:r>
    </w:p>
    <w:p>
      <w:pPr>
        <w:pStyle w:val="6"/>
        <w:keepNext w:val="0"/>
        <w:keepLines w:val="0"/>
        <w:pageBreakBefore w:val="0"/>
        <w:widowControl w:val="0"/>
        <w:kinsoku/>
        <w:wordWrap/>
        <w:overflowPunct/>
        <w:topLinePunct w:val="0"/>
        <w:autoSpaceDE/>
        <w:autoSpaceDN/>
        <w:bidi w:val="0"/>
        <w:textAlignment w:val="auto"/>
        <w:rPr>
          <w:rFonts w:hint="eastAsia"/>
        </w:rPr>
      </w:pPr>
      <w:r>
        <w:rPr>
          <w:rFonts w:hint="eastAsia"/>
        </w:rPr>
        <w:t>【政策依据】</w:t>
      </w:r>
    </w:p>
    <w:p>
      <w:pPr>
        <w:pStyle w:val="20"/>
        <w:keepNext w:val="0"/>
        <w:keepLines w:val="0"/>
        <w:pageBreakBefore w:val="0"/>
        <w:widowControl w:val="0"/>
        <w:kinsoku/>
        <w:wordWrap/>
        <w:overflowPunct/>
        <w:topLinePunct w:val="0"/>
        <w:autoSpaceDE/>
        <w:autoSpaceDN/>
        <w:bidi w:val="0"/>
        <w:textAlignment w:val="auto"/>
        <w:rPr>
          <w:rFonts w:hint="eastAsia"/>
        </w:rPr>
      </w:pPr>
      <w:r>
        <w:rPr>
          <w:rFonts w:hint="eastAsia"/>
        </w:rPr>
        <w:t>《中华人民共和国环境保护税法》第四条</w:t>
      </w:r>
    </w:p>
    <w:p>
      <w:pPr>
        <w:bidi w:val="0"/>
        <w:rPr>
          <w:rFonts w:hint="eastAsia"/>
        </w:rPr>
      </w:pPr>
    </w:p>
    <w:p>
      <w:pPr>
        <w:bidi w:val="0"/>
        <w:rPr>
          <w:rFonts w:hint="eastAsia"/>
        </w:rPr>
      </w:pPr>
    </w:p>
    <w:p>
      <w:pPr>
        <w:pStyle w:val="3"/>
        <w:keepNext w:val="0"/>
        <w:keepLines w:val="0"/>
        <w:pageBreakBefore w:val="0"/>
        <w:widowControl w:val="0"/>
        <w:kinsoku/>
        <w:wordWrap/>
        <w:overflowPunct/>
        <w:topLinePunct w:val="0"/>
        <w:autoSpaceDE/>
        <w:autoSpaceDN/>
        <w:bidi w:val="0"/>
        <w:textAlignment w:val="auto"/>
        <w:rPr>
          <w:rFonts w:hint="eastAsia"/>
          <w:lang w:val="en-US" w:eastAsia="zh-CN"/>
        </w:rPr>
      </w:pPr>
      <w:bookmarkStart w:id="33" w:name="_Toc25383"/>
      <w:r>
        <w:rPr>
          <w:rFonts w:hint="eastAsia"/>
          <w:lang w:eastAsia="zh-CN"/>
        </w:rPr>
        <w:t>第五部分</w:t>
      </w:r>
      <w:r>
        <w:rPr>
          <w:rFonts w:hint="eastAsia"/>
          <w:lang w:val="en-US" w:eastAsia="zh-CN"/>
        </w:rPr>
        <w:t xml:space="preserve"> 耕地占用税</w:t>
      </w:r>
      <w:bookmarkEnd w:id="33"/>
    </w:p>
    <w:p>
      <w:pPr>
        <w:pStyle w:val="5"/>
        <w:keepNext w:val="0"/>
        <w:keepLines w:val="0"/>
        <w:pageBreakBefore w:val="0"/>
        <w:widowControl w:val="0"/>
        <w:numPr>
          <w:ilvl w:val="0"/>
          <w:numId w:val="1"/>
        </w:numPr>
        <w:kinsoku/>
        <w:wordWrap/>
        <w:overflowPunct/>
        <w:topLinePunct w:val="0"/>
        <w:autoSpaceDE/>
        <w:autoSpaceDN/>
        <w:bidi w:val="0"/>
        <w:adjustRightInd/>
        <w:snapToGrid/>
        <w:spacing w:line="416" w:lineRule="auto"/>
        <w:ind w:left="0" w:leftChars="0" w:firstLine="0" w:firstLineChars="0"/>
        <w:textAlignment w:val="auto"/>
        <w:outlineLvl w:val="1"/>
        <w:rPr>
          <w:rFonts w:hint="eastAsia"/>
          <w:color w:val="auto"/>
        </w:rPr>
      </w:pPr>
      <w:bookmarkStart w:id="34" w:name="_Toc20704"/>
      <w:r>
        <w:rPr>
          <w:rFonts w:hint="eastAsia"/>
          <w:color w:val="auto"/>
          <w:lang w:val="en-US" w:eastAsia="zh-CN"/>
        </w:rPr>
        <w:t>对将耕地资源用于非农业建设的单位和个人按差别定额税率征收耕地占用税</w:t>
      </w:r>
      <w:bookmarkEnd w:id="34"/>
    </w:p>
    <w:p>
      <w:pPr>
        <w:pStyle w:val="6"/>
        <w:keepNext w:val="0"/>
        <w:keepLines w:val="0"/>
        <w:pageBreakBefore w:val="0"/>
        <w:widowControl w:val="0"/>
        <w:kinsoku/>
        <w:wordWrap/>
        <w:overflowPunct/>
        <w:topLinePunct w:val="0"/>
        <w:autoSpaceDE/>
        <w:autoSpaceDN/>
        <w:bidi w:val="0"/>
        <w:textAlignment w:val="auto"/>
        <w:rPr>
          <w:rFonts w:hint="eastAsia"/>
        </w:rPr>
      </w:pPr>
      <w:r>
        <w:rPr>
          <w:rFonts w:hint="eastAsia"/>
        </w:rPr>
        <w:t>【政策内容】</w:t>
      </w:r>
    </w:p>
    <w:p>
      <w:pPr>
        <w:keepNext w:val="0"/>
        <w:keepLines w:val="0"/>
        <w:pageBreakBefore w:val="0"/>
        <w:widowControl w:val="0"/>
        <w:kinsoku/>
        <w:wordWrap/>
        <w:overflowPunct/>
        <w:topLinePunct w:val="0"/>
        <w:autoSpaceDE/>
        <w:autoSpaceDN/>
        <w:bidi w:val="0"/>
        <w:textAlignment w:val="auto"/>
        <w:rPr>
          <w:rFonts w:hint="eastAsia" w:eastAsia="仿宋_GB2312"/>
          <w:lang w:eastAsia="zh-CN"/>
        </w:rPr>
      </w:pPr>
      <w:r>
        <w:rPr>
          <w:rFonts w:hint="eastAsia"/>
        </w:rPr>
        <w:t>占用耕地建设建筑物、构筑物或者从事非农业建设的单位和个人，为耕地占用税的纳税人，</w:t>
      </w:r>
      <w:r>
        <w:rPr>
          <w:rFonts w:hint="eastAsia"/>
          <w:highlight w:val="none"/>
        </w:rPr>
        <w:t>应当依照规定缴纳耕地占用税。</w:t>
      </w:r>
    </w:p>
    <w:p>
      <w:pPr>
        <w:keepNext w:val="0"/>
        <w:keepLines w:val="0"/>
        <w:pageBreakBefore w:val="0"/>
        <w:widowControl w:val="0"/>
        <w:kinsoku/>
        <w:wordWrap/>
        <w:overflowPunct/>
        <w:topLinePunct w:val="0"/>
        <w:autoSpaceDE/>
        <w:autoSpaceDN/>
        <w:bidi w:val="0"/>
        <w:textAlignment w:val="auto"/>
        <w:rPr>
          <w:rFonts w:hint="eastAsia"/>
        </w:rPr>
      </w:pPr>
      <w:r>
        <w:rPr>
          <w:rFonts w:hint="eastAsia"/>
        </w:rPr>
        <w:t>占用耕地建设农田水利设施的，不缴纳耕地占用税。</w:t>
      </w:r>
    </w:p>
    <w:p>
      <w:pPr>
        <w:keepNext w:val="0"/>
        <w:keepLines w:val="0"/>
        <w:pageBreakBefore w:val="0"/>
        <w:widowControl w:val="0"/>
        <w:kinsoku/>
        <w:wordWrap/>
        <w:overflowPunct/>
        <w:topLinePunct w:val="0"/>
        <w:autoSpaceDE/>
        <w:autoSpaceDN/>
        <w:bidi w:val="0"/>
        <w:textAlignment w:val="auto"/>
        <w:rPr>
          <w:rFonts w:hint="eastAsia"/>
        </w:rPr>
      </w:pPr>
      <w:r>
        <w:rPr>
          <w:rFonts w:hint="eastAsia"/>
        </w:rPr>
        <w:t>所称耕地，是指用于种植农作物的土地。</w:t>
      </w:r>
    </w:p>
    <w:p>
      <w:pPr>
        <w:pStyle w:val="2"/>
        <w:keepNext w:val="0"/>
        <w:keepLines w:val="0"/>
        <w:pageBreakBefore w:val="0"/>
        <w:widowControl/>
        <w:kinsoku/>
        <w:wordWrap/>
        <w:overflowPunct/>
        <w:topLinePunct w:val="0"/>
        <w:autoSpaceDE/>
        <w:autoSpaceDN/>
        <w:bidi w:val="0"/>
        <w:adjustRightInd/>
        <w:snapToGrid/>
        <w:spacing w:line="240" w:lineRule="auto"/>
        <w:textAlignment w:val="auto"/>
        <w:rPr>
          <w:rFonts w:hint="eastAsia"/>
        </w:rPr>
      </w:pPr>
      <w:r>
        <w:rPr>
          <w:rFonts w:ascii="宋体" w:hAnsi="宋体" w:cs="宋体"/>
          <w:color w:val="000000"/>
          <w:kern w:val="0"/>
          <w:sz w:val="24"/>
        </w:rPr>
        <w:drawing>
          <wp:inline distT="0" distB="0" distL="114300" distR="114300">
            <wp:extent cx="4491990" cy="4033520"/>
            <wp:effectExtent l="0" t="0" r="3810" b="5080"/>
            <wp:docPr id="21" name="图片 22" descr="ShowApp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descr="ShowAppend"/>
                    <pic:cNvPicPr>
                      <a:picLocks noChangeAspect="1"/>
                    </pic:cNvPicPr>
                  </pic:nvPicPr>
                  <pic:blipFill>
                    <a:blip r:embed="rId28"/>
                    <a:stretch>
                      <a:fillRect/>
                    </a:stretch>
                  </pic:blipFill>
                  <pic:spPr>
                    <a:xfrm>
                      <a:off x="0" y="0"/>
                      <a:ext cx="4491990" cy="403352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textAlignment w:val="auto"/>
        <w:rPr>
          <w:rFonts w:hint="eastAsia"/>
        </w:rPr>
      </w:pPr>
      <w:r>
        <w:rPr>
          <w:rFonts w:hint="eastAsia"/>
        </w:rPr>
        <w:t>【政策依据】</w:t>
      </w:r>
    </w:p>
    <w:p>
      <w:pPr>
        <w:pStyle w:val="20"/>
        <w:keepNext w:val="0"/>
        <w:keepLines w:val="0"/>
        <w:pageBreakBefore w:val="0"/>
        <w:widowControl w:val="0"/>
        <w:kinsoku/>
        <w:wordWrap/>
        <w:overflowPunct/>
        <w:topLinePunct w:val="0"/>
        <w:autoSpaceDE/>
        <w:autoSpaceDN/>
        <w:bidi w:val="0"/>
        <w:textAlignment w:val="auto"/>
        <w:rPr>
          <w:rFonts w:hint="eastAsia"/>
        </w:rPr>
      </w:pPr>
      <w:r>
        <w:rPr>
          <w:rFonts w:hint="eastAsia"/>
        </w:rPr>
        <w:t>《中华人民共和国耕地占用税法》第二条</w:t>
      </w:r>
    </w:p>
    <w:p>
      <w:pPr>
        <w:keepNext w:val="0"/>
        <w:keepLines w:val="0"/>
        <w:pageBreakBefore w:val="0"/>
        <w:widowControl w:val="0"/>
        <w:kinsoku/>
        <w:wordWrap/>
        <w:overflowPunct/>
        <w:topLinePunct w:val="0"/>
        <w:autoSpaceDE/>
        <w:autoSpaceDN/>
        <w:bidi w:val="0"/>
        <w:textAlignment w:val="auto"/>
        <w:rPr>
          <w:rFonts w:hint="eastAsia"/>
        </w:rPr>
      </w:pPr>
    </w:p>
    <w:p>
      <w:pPr>
        <w:keepNext w:val="0"/>
        <w:keepLines w:val="0"/>
        <w:pageBreakBefore w:val="0"/>
        <w:widowControl w:val="0"/>
        <w:kinsoku/>
        <w:wordWrap/>
        <w:overflowPunct/>
        <w:topLinePunct w:val="0"/>
        <w:autoSpaceDE/>
        <w:autoSpaceDN/>
        <w:bidi w:val="0"/>
        <w:ind w:left="0" w:leftChars="0" w:firstLine="0" w:firstLineChars="0"/>
        <w:textAlignment w:val="auto"/>
        <w:rPr>
          <w:rFonts w:hint="eastAsia"/>
        </w:rPr>
      </w:pPr>
    </w:p>
    <w:p>
      <w:pPr>
        <w:pStyle w:val="5"/>
        <w:keepNext w:val="0"/>
        <w:keepLines w:val="0"/>
        <w:pageBreakBefore w:val="0"/>
        <w:widowControl w:val="0"/>
        <w:numPr>
          <w:ilvl w:val="0"/>
          <w:numId w:val="1"/>
        </w:numPr>
        <w:kinsoku/>
        <w:wordWrap/>
        <w:overflowPunct/>
        <w:topLinePunct w:val="0"/>
        <w:autoSpaceDE/>
        <w:autoSpaceDN/>
        <w:bidi w:val="0"/>
        <w:adjustRightInd/>
        <w:snapToGrid/>
        <w:spacing w:line="416" w:lineRule="auto"/>
        <w:ind w:left="0" w:leftChars="0" w:firstLine="0" w:firstLineChars="0"/>
        <w:textAlignment w:val="auto"/>
        <w:outlineLvl w:val="1"/>
        <w:rPr>
          <w:rFonts w:hint="default"/>
          <w:lang w:val="en-US" w:eastAsia="zh-CN"/>
        </w:rPr>
      </w:pPr>
      <w:bookmarkStart w:id="35" w:name="_Toc5381"/>
      <w:r>
        <w:rPr>
          <w:rFonts w:hint="eastAsia" w:ascii="宋体" w:hAnsi="宋体" w:eastAsia="宋体" w:cs="宋体"/>
        </w:rPr>
        <w:t>占用基本农田的按照</w:t>
      </w:r>
      <w:r>
        <w:rPr>
          <w:rFonts w:hint="eastAsia" w:cs="宋体"/>
          <w:lang w:val="en-US" w:eastAsia="zh-CN"/>
        </w:rPr>
        <w:t>我省</w:t>
      </w:r>
      <w:r>
        <w:rPr>
          <w:rFonts w:hint="eastAsia" w:ascii="宋体" w:hAnsi="宋体" w:eastAsia="宋体" w:cs="宋体"/>
        </w:rPr>
        <w:t>适用税额征收耕地占用税</w:t>
      </w:r>
      <w:bookmarkEnd w:id="35"/>
    </w:p>
    <w:p>
      <w:pPr>
        <w:pStyle w:val="6"/>
        <w:keepNext w:val="0"/>
        <w:keepLines w:val="0"/>
        <w:pageBreakBefore w:val="0"/>
        <w:widowControl w:val="0"/>
        <w:kinsoku/>
        <w:wordWrap/>
        <w:overflowPunct/>
        <w:topLinePunct w:val="0"/>
        <w:autoSpaceDE/>
        <w:autoSpaceDN/>
        <w:bidi w:val="0"/>
        <w:textAlignment w:val="auto"/>
        <w:rPr>
          <w:rFonts w:hint="default"/>
          <w:lang w:val="en-US" w:eastAsia="zh-CN"/>
        </w:rPr>
      </w:pPr>
      <w:r>
        <w:rPr>
          <w:rFonts w:hint="default"/>
          <w:lang w:val="en-US" w:eastAsia="zh-CN"/>
        </w:rPr>
        <w:t>【政策内容】</w:t>
      </w:r>
    </w:p>
    <w:p>
      <w:pPr>
        <w:keepNext w:val="0"/>
        <w:keepLines w:val="0"/>
        <w:pageBreakBefore w:val="0"/>
        <w:widowControl w:val="0"/>
        <w:kinsoku/>
        <w:wordWrap/>
        <w:overflowPunct/>
        <w:topLinePunct w:val="0"/>
        <w:autoSpaceDE/>
        <w:autoSpaceDN/>
        <w:bidi w:val="0"/>
        <w:textAlignment w:val="auto"/>
        <w:rPr>
          <w:rFonts w:hint="default"/>
          <w:lang w:val="en-US" w:eastAsia="zh-CN"/>
        </w:rPr>
      </w:pPr>
      <w:r>
        <w:rPr>
          <w:rFonts w:hint="eastAsia"/>
          <w:lang w:val="en-US" w:eastAsia="zh-CN"/>
        </w:rPr>
        <w:t>1.</w:t>
      </w:r>
      <w:r>
        <w:rPr>
          <w:rFonts w:hint="default"/>
          <w:lang w:val="en-US" w:eastAsia="zh-CN"/>
        </w:rPr>
        <w:t>占用基本农田的，</w:t>
      </w:r>
      <w:r>
        <w:rPr>
          <w:rFonts w:hint="default"/>
          <w:highlight w:val="none"/>
          <w:lang w:val="en-US" w:eastAsia="zh-CN"/>
        </w:rPr>
        <w:t>应当按照《中华人民共和国耕地占用税法》第四条第二款或者第五条确定的当地适用税额</w:t>
      </w:r>
      <w:r>
        <w:rPr>
          <w:rFonts w:hint="default"/>
          <w:lang w:val="en-US" w:eastAsia="zh-CN"/>
        </w:rPr>
        <w:t>，加按百分之一百五十征收。</w:t>
      </w:r>
    </w:p>
    <w:p>
      <w:pPr>
        <w:bidi w:val="0"/>
        <w:rPr>
          <w:rFonts w:hint="default"/>
          <w:lang w:val="en-US" w:eastAsia="zh-CN"/>
        </w:rPr>
      </w:pPr>
      <w:r>
        <w:rPr>
          <w:rFonts w:hint="eastAsia"/>
          <w:lang w:val="en-US" w:eastAsia="zh-CN"/>
        </w:rPr>
        <w:t>2.黑龙江</w:t>
      </w:r>
      <w:r>
        <w:rPr>
          <w:rFonts w:hint="default"/>
          <w:lang w:val="en-US" w:eastAsia="zh-CN"/>
        </w:rPr>
        <w:t>省各地区耕地占用税适用税额</w:t>
      </w:r>
      <w:r>
        <w:rPr>
          <w:rFonts w:hint="eastAsia"/>
          <w:lang w:val="en-US" w:eastAsia="zh-CN"/>
        </w:rPr>
        <w:t>如下：</w:t>
      </w:r>
    </w:p>
    <w:p>
      <w:pPr>
        <w:bidi w:val="0"/>
        <w:rPr>
          <w:rFonts w:hint="default"/>
          <w:lang w:val="en-US" w:eastAsia="zh-CN"/>
        </w:rPr>
      </w:pPr>
      <w:r>
        <w:rPr>
          <w:rFonts w:hint="default"/>
          <w:lang w:val="en-US" w:eastAsia="zh-CN"/>
        </w:rPr>
        <w:t>按30元/平方米执行地区：哈尔滨市道里区、南岗区、道外区、平房区、松北区、香坊区。</w:t>
      </w:r>
    </w:p>
    <w:p>
      <w:pPr>
        <w:bidi w:val="0"/>
        <w:rPr>
          <w:rFonts w:hint="default"/>
          <w:lang w:val="en-US" w:eastAsia="zh-CN"/>
        </w:rPr>
      </w:pPr>
      <w:r>
        <w:rPr>
          <w:rFonts w:hint="default"/>
          <w:lang w:val="en-US" w:eastAsia="zh-CN"/>
        </w:rPr>
        <w:t>按25元/平方米执行地区：齐齐哈尔市龙沙区、建华区、铁锋区、富拉尔基区，牡丹江市东安区、爱民区、西安区，佳木斯市向阳区、前进区、东风区，大庆市萨尔图区、龙凤区、让胡路区、红岗区，鸡西市鸡冠区、恒山区、滴道区、梨树区、城子河区，双鸭山市尖山区、岭东区，七台河市桃山区，鹤岗市向阳区、工农区、南山区、兴安区、兴山区。</w:t>
      </w:r>
    </w:p>
    <w:p>
      <w:pPr>
        <w:bidi w:val="0"/>
        <w:rPr>
          <w:rFonts w:hint="default"/>
          <w:lang w:val="en-US" w:eastAsia="zh-CN"/>
        </w:rPr>
      </w:pPr>
      <w:r>
        <w:rPr>
          <w:rFonts w:hint="default"/>
          <w:lang w:val="en-US" w:eastAsia="zh-CN"/>
        </w:rPr>
        <w:t>按20元/平方米执行地区：哈尔滨市阿城区、尚志市、五常市、方正县，齐齐哈尔市昂昂溪区、梅里斯达斡尔族区，牡丹江市阳明区、海林市，佳木斯市郊区，大庆市大同区，鸡西市麻山区，双鸭山市四方台区、宝山区，伊春市铁力市，七台河市新兴区、茄子河区，鹤岗市东山区。</w:t>
      </w:r>
    </w:p>
    <w:p>
      <w:pPr>
        <w:bidi w:val="0"/>
        <w:rPr>
          <w:rFonts w:hint="default"/>
          <w:lang w:val="en-US" w:eastAsia="zh-CN"/>
        </w:rPr>
      </w:pPr>
      <w:r>
        <w:rPr>
          <w:rFonts w:hint="default"/>
          <w:lang w:val="en-US" w:eastAsia="zh-CN"/>
        </w:rPr>
        <w:t>按17元/平方米执行地区：哈尔滨市双城区、呼兰区、依兰县、宾县、巴彦县、木兰县、通河县、延寿县，齐齐哈尔市碾子山区、龙江县、依安县、泰来县、甘南县、富裕县、克山县、克东县、拜泉县、讷河市，牡丹江市林口县、宁安市，佳木斯市桦川县、汤原县、富锦市，大庆市肇源县、肇州县、林甸县、杜尔伯特蒙古族自治县，双鸭山市集贤县，伊春市原所辖区，七台河市勃利县，黑河市嫩江市、北安市、五大连池市，绥化市北林区、望奎县、兰西县、青冈县、庆安县、明水县、绥棱县、安达市、肇东市、海伦市。</w:t>
      </w:r>
    </w:p>
    <w:p>
      <w:pPr>
        <w:bidi w:val="0"/>
        <w:rPr>
          <w:rFonts w:hint="default"/>
          <w:lang w:val="en-US" w:eastAsia="zh-CN"/>
        </w:rPr>
      </w:pPr>
      <w:r>
        <w:rPr>
          <w:rFonts w:hint="default"/>
          <w:lang w:val="en-US" w:eastAsia="zh-CN"/>
        </w:rPr>
        <w:t>按15元/平方米执行地区：牡丹江市东宁市、绥芬河市、穆棱市，佳木斯市抚远市、同江市、桦南县，鸡西市鸡东县、虎林市、密山市，双鸭山市友谊县、饶河县、宝清县，伊春市嘉荫县，鹤岗市萝北县、绥滨县，黑河市爱辉区、逊克县、孙吴县，大兴安岭地区加格达奇区、松岭区、新林区、呼中区、呼玛县、塔河县、漠河市。</w:t>
      </w:r>
    </w:p>
    <w:p>
      <w:pPr>
        <w:bidi w:val="0"/>
        <w:rPr>
          <w:rFonts w:hint="default"/>
          <w:lang w:val="en-US" w:eastAsia="zh-CN"/>
        </w:rPr>
      </w:pPr>
      <w:r>
        <w:rPr>
          <w:rFonts w:hint="eastAsia"/>
          <w:lang w:val="en-US" w:eastAsia="zh-CN"/>
        </w:rPr>
        <w:t>3.</w:t>
      </w:r>
      <w:r>
        <w:rPr>
          <w:rFonts w:hint="default"/>
          <w:lang w:val="en-US" w:eastAsia="zh-CN"/>
        </w:rPr>
        <w:t>不提高人均耕地面积低于0.5亩的地区耕地占用税适用税额。</w:t>
      </w:r>
    </w:p>
    <w:p>
      <w:pPr>
        <w:bidi w:val="0"/>
        <w:rPr>
          <w:rFonts w:hint="default"/>
          <w:lang w:val="en-US" w:eastAsia="zh-CN"/>
        </w:rPr>
      </w:pPr>
      <w:r>
        <w:rPr>
          <w:rFonts w:hint="eastAsia"/>
          <w:lang w:val="en-US" w:eastAsia="zh-CN"/>
        </w:rPr>
        <w:t>4.</w:t>
      </w:r>
      <w:r>
        <w:rPr>
          <w:rFonts w:hint="default"/>
          <w:lang w:val="en-US" w:eastAsia="zh-CN"/>
        </w:rPr>
        <w:t>占用园地、林地、草地、农田水利用地、养殖水面、渔业水域滩涂以及其他农用地建设建筑物、构筑物或者从事非农业建设的，适用税额按占用耕地适用税额的80%执行。</w:t>
      </w:r>
    </w:p>
    <w:p>
      <w:pPr>
        <w:bidi w:val="0"/>
        <w:rPr>
          <w:rFonts w:hint="default"/>
          <w:lang w:val="en-US" w:eastAsia="zh-CN"/>
        </w:rPr>
      </w:pPr>
      <w:r>
        <w:rPr>
          <w:rFonts w:hint="eastAsia"/>
          <w:lang w:val="en-US" w:eastAsia="zh-CN"/>
        </w:rPr>
        <w:t>5.</w:t>
      </w:r>
      <w:r>
        <w:rPr>
          <w:rFonts w:hint="default"/>
          <w:lang w:val="en-US" w:eastAsia="zh-CN"/>
        </w:rPr>
        <w:t>伊春市按照国务院批复全面完成行政区划调整后，伊美区、乌翠区、友好区、金林区、汤旺县、丰林县、大箐山县、南岔县耕地占用税适用税额按17元/平方米执行。</w:t>
      </w:r>
    </w:p>
    <w:p>
      <w:pPr>
        <w:pStyle w:val="6"/>
        <w:keepNext w:val="0"/>
        <w:keepLines w:val="0"/>
        <w:pageBreakBefore w:val="0"/>
        <w:widowControl w:val="0"/>
        <w:kinsoku/>
        <w:wordWrap/>
        <w:overflowPunct/>
        <w:topLinePunct w:val="0"/>
        <w:autoSpaceDE/>
        <w:autoSpaceDN/>
        <w:bidi w:val="0"/>
        <w:textAlignment w:val="auto"/>
        <w:rPr>
          <w:rFonts w:hint="default"/>
          <w:lang w:val="en-US" w:eastAsia="zh-CN"/>
        </w:rPr>
      </w:pPr>
      <w:r>
        <w:rPr>
          <w:rFonts w:hint="default"/>
          <w:lang w:val="en-US" w:eastAsia="zh-CN"/>
        </w:rPr>
        <w:t>【政策依据】</w:t>
      </w:r>
    </w:p>
    <w:p>
      <w:pPr>
        <w:pStyle w:val="20"/>
        <w:keepNext w:val="0"/>
        <w:keepLines w:val="0"/>
        <w:pageBreakBefore w:val="0"/>
        <w:widowControl w:val="0"/>
        <w:kinsoku/>
        <w:wordWrap/>
        <w:overflowPunct/>
        <w:topLinePunct w:val="0"/>
        <w:autoSpaceDE/>
        <w:autoSpaceDN/>
        <w:bidi w:val="0"/>
        <w:textAlignment w:val="auto"/>
        <w:rPr>
          <w:rFonts w:hint="default"/>
          <w:lang w:val="en-US" w:eastAsia="zh-CN"/>
        </w:rPr>
      </w:pPr>
      <w:r>
        <w:rPr>
          <w:rFonts w:hint="eastAsia"/>
          <w:lang w:val="en-US" w:eastAsia="zh-CN"/>
        </w:rPr>
        <w:t>1.</w:t>
      </w:r>
      <w:r>
        <w:rPr>
          <w:rFonts w:hint="default"/>
          <w:lang w:val="en-US" w:eastAsia="zh-CN"/>
        </w:rPr>
        <w:t>《中华人民共和国耕地占用税法》第六条</w:t>
      </w:r>
    </w:p>
    <w:p>
      <w:pPr>
        <w:pStyle w:val="20"/>
        <w:keepNext w:val="0"/>
        <w:keepLines w:val="0"/>
        <w:pageBreakBefore w:val="0"/>
        <w:widowControl w:val="0"/>
        <w:kinsoku/>
        <w:wordWrap/>
        <w:overflowPunct/>
        <w:topLinePunct w:val="0"/>
        <w:autoSpaceDE/>
        <w:autoSpaceDN/>
        <w:bidi w:val="0"/>
        <w:textAlignment w:val="auto"/>
        <w:rPr>
          <w:rFonts w:hint="default"/>
          <w:lang w:val="en-US" w:eastAsia="zh-CN"/>
        </w:rPr>
      </w:pPr>
      <w:r>
        <w:rPr>
          <w:rFonts w:hint="eastAsia"/>
          <w:lang w:val="en-US" w:eastAsia="zh-CN"/>
        </w:rPr>
        <w:t>2.</w:t>
      </w:r>
      <w:r>
        <w:rPr>
          <w:rFonts w:hint="default"/>
          <w:lang w:val="en-US" w:eastAsia="zh-CN"/>
        </w:rPr>
        <w:t>《黑龙江省人民代表大会常务委员会 关于黑龙江省耕地占用税适用税额的决定》（2019年8月16日黑龙江省第十三届人民代表大会常务委员会第十三次会议通过）</w:t>
      </w:r>
    </w:p>
    <w:p>
      <w:pPr>
        <w:bidi w:val="0"/>
        <w:rPr>
          <w:rFonts w:hint="default"/>
          <w:lang w:val="en-US" w:eastAsia="zh-CN"/>
        </w:rPr>
      </w:pPr>
    </w:p>
    <w:p>
      <w:pPr>
        <w:bidi w:val="0"/>
        <w:rPr>
          <w:rFonts w:hint="default"/>
          <w:lang w:val="en-US" w:eastAsia="zh-CN"/>
        </w:rPr>
      </w:pPr>
    </w:p>
    <w:p>
      <w:pPr>
        <w:pStyle w:val="5"/>
        <w:keepNext w:val="0"/>
        <w:keepLines w:val="0"/>
        <w:pageBreakBefore w:val="0"/>
        <w:widowControl w:val="0"/>
        <w:numPr>
          <w:ilvl w:val="0"/>
          <w:numId w:val="1"/>
        </w:numPr>
        <w:kinsoku/>
        <w:wordWrap/>
        <w:overflowPunct/>
        <w:topLinePunct w:val="0"/>
        <w:autoSpaceDE/>
        <w:autoSpaceDN/>
        <w:bidi w:val="0"/>
        <w:adjustRightInd/>
        <w:snapToGrid/>
        <w:spacing w:line="416" w:lineRule="auto"/>
        <w:ind w:left="0" w:leftChars="0" w:firstLine="0" w:firstLineChars="0"/>
        <w:textAlignment w:val="auto"/>
        <w:outlineLvl w:val="1"/>
        <w:rPr>
          <w:rFonts w:hint="eastAsia"/>
        </w:rPr>
      </w:pPr>
      <w:bookmarkStart w:id="36" w:name="_Toc11353"/>
      <w:r>
        <w:rPr>
          <w:rFonts w:hint="eastAsia" w:ascii="宋体" w:hAnsi="宋体" w:eastAsia="宋体" w:cs="宋体"/>
          <w:highlight w:val="none"/>
        </w:rPr>
        <w:t>占用农用地从事非农业建设的，按我省适用税额征收耕地占用税</w:t>
      </w:r>
      <w:bookmarkEnd w:id="36"/>
    </w:p>
    <w:p>
      <w:pPr>
        <w:pStyle w:val="6"/>
        <w:keepNext w:val="0"/>
        <w:keepLines w:val="0"/>
        <w:pageBreakBefore w:val="0"/>
        <w:widowControl w:val="0"/>
        <w:kinsoku/>
        <w:wordWrap/>
        <w:overflowPunct/>
        <w:topLinePunct w:val="0"/>
        <w:autoSpaceDE/>
        <w:autoSpaceDN/>
        <w:bidi w:val="0"/>
        <w:textAlignment w:val="auto"/>
        <w:rPr>
          <w:rFonts w:hint="eastAsia"/>
        </w:rPr>
      </w:pPr>
      <w:r>
        <w:rPr>
          <w:rFonts w:hint="eastAsia"/>
        </w:rPr>
        <w:t>【政策内容】</w:t>
      </w:r>
    </w:p>
    <w:p>
      <w:pPr>
        <w:keepNext w:val="0"/>
        <w:keepLines w:val="0"/>
        <w:pageBreakBefore w:val="0"/>
        <w:widowControl w:val="0"/>
        <w:kinsoku/>
        <w:wordWrap/>
        <w:overflowPunct/>
        <w:topLinePunct w:val="0"/>
        <w:autoSpaceDE/>
        <w:autoSpaceDN/>
        <w:bidi w:val="0"/>
        <w:textAlignment w:val="auto"/>
        <w:rPr>
          <w:rFonts w:hint="eastAsia"/>
        </w:rPr>
      </w:pPr>
      <w:r>
        <w:rPr>
          <w:rFonts w:hint="eastAsia"/>
        </w:rPr>
        <w:t>占用园地、林地、草地、农田水利用地、养殖水面、渔业水域滩涂以及其他农用地建设建筑物、构筑物或者从事非农业建设的，依照本法的规定缴纳耕地占用税。</w:t>
      </w:r>
    </w:p>
    <w:p>
      <w:pPr>
        <w:keepNext w:val="0"/>
        <w:keepLines w:val="0"/>
        <w:pageBreakBefore w:val="0"/>
        <w:widowControl w:val="0"/>
        <w:kinsoku/>
        <w:wordWrap/>
        <w:overflowPunct/>
        <w:topLinePunct w:val="0"/>
        <w:autoSpaceDE/>
        <w:autoSpaceDN/>
        <w:bidi w:val="0"/>
        <w:textAlignment w:val="auto"/>
        <w:rPr>
          <w:rFonts w:hint="eastAsia"/>
          <w:highlight w:val="none"/>
        </w:rPr>
      </w:pPr>
      <w:r>
        <w:rPr>
          <w:rFonts w:hint="eastAsia"/>
        </w:rPr>
        <w:t>占用前款规定的农用地的，</w:t>
      </w:r>
      <w:r>
        <w:rPr>
          <w:rFonts w:hint="eastAsia"/>
          <w:highlight w:val="none"/>
        </w:rPr>
        <w:t>适用税额可以适当低于本地区按照</w:t>
      </w:r>
      <w:r>
        <w:rPr>
          <w:rFonts w:hint="eastAsia"/>
          <w:highlight w:val="none"/>
          <w:lang w:eastAsia="zh-CN"/>
        </w:rPr>
        <w:t>本</w:t>
      </w:r>
      <w:r>
        <w:rPr>
          <w:rFonts w:hint="eastAsia"/>
          <w:highlight w:val="none"/>
        </w:rPr>
        <w:t>法第四条第二款确定的适用税额，但降低的部分不得超过百分之五十。具体适用税额由省、自治区、直辖市人民政府提出，报同级人民代表大会常务委员会决定，并报全国人民代表大会常务委员会和国务院备案。</w:t>
      </w:r>
    </w:p>
    <w:p>
      <w:pPr>
        <w:bidi w:val="0"/>
        <w:rPr>
          <w:rFonts w:hint="eastAsia"/>
          <w:lang w:val="en-US" w:eastAsia="zh-CN"/>
        </w:rPr>
      </w:pPr>
      <w:r>
        <w:rPr>
          <w:rFonts w:hint="eastAsia"/>
          <w:lang w:val="en-US" w:eastAsia="zh-CN"/>
        </w:rPr>
        <w:t>根据</w:t>
      </w:r>
      <w:r>
        <w:rPr>
          <w:rFonts w:hint="default"/>
          <w:lang w:val="en-US" w:eastAsia="zh-CN"/>
        </w:rPr>
        <w:t>《黑龙江省人民代表大会常务委员会 关于黑龙江省耕地占用税适用税额的决定》（2019年8月16日黑龙江省第十三届人民代表大会常务委员会第十三次会议通过）</w:t>
      </w:r>
      <w:r>
        <w:rPr>
          <w:rFonts w:hint="eastAsia"/>
          <w:lang w:val="en-US" w:eastAsia="zh-CN"/>
        </w:rPr>
        <w:t>，</w:t>
      </w:r>
      <w:r>
        <w:rPr>
          <w:rFonts w:hint="default"/>
          <w:lang w:val="en-US" w:eastAsia="zh-CN"/>
        </w:rPr>
        <w:t>占用园地、林地、草地、农田水利用地、养殖水面、渔业水域滩涂以及其他农用地建设建筑物、构筑物或者从事非农业建设的，适用税额按占用耕地适用税额的80%执行。</w:t>
      </w:r>
    </w:p>
    <w:p>
      <w:pPr>
        <w:pStyle w:val="6"/>
        <w:keepNext w:val="0"/>
        <w:keepLines w:val="0"/>
        <w:pageBreakBefore w:val="0"/>
        <w:widowControl w:val="0"/>
        <w:kinsoku/>
        <w:wordWrap/>
        <w:overflowPunct/>
        <w:topLinePunct w:val="0"/>
        <w:autoSpaceDE/>
        <w:autoSpaceDN/>
        <w:bidi w:val="0"/>
        <w:textAlignment w:val="auto"/>
        <w:rPr>
          <w:rFonts w:hint="eastAsia"/>
        </w:rPr>
      </w:pPr>
      <w:r>
        <w:rPr>
          <w:rFonts w:hint="eastAsia"/>
        </w:rPr>
        <w:t>【政策依据】</w:t>
      </w:r>
    </w:p>
    <w:p>
      <w:pPr>
        <w:pStyle w:val="20"/>
        <w:keepNext w:val="0"/>
        <w:keepLines w:val="0"/>
        <w:pageBreakBefore w:val="0"/>
        <w:widowControl w:val="0"/>
        <w:kinsoku/>
        <w:wordWrap/>
        <w:overflowPunct/>
        <w:topLinePunct w:val="0"/>
        <w:autoSpaceDE/>
        <w:autoSpaceDN/>
        <w:bidi w:val="0"/>
        <w:textAlignment w:val="auto"/>
        <w:rPr>
          <w:rFonts w:hint="eastAsia"/>
          <w:lang w:eastAsia="zh-CN"/>
        </w:rPr>
      </w:pPr>
      <w:r>
        <w:rPr>
          <w:rFonts w:hint="eastAsia"/>
          <w:lang w:val="en-US" w:eastAsia="zh-CN"/>
        </w:rPr>
        <w:t>1.</w:t>
      </w:r>
      <w:r>
        <w:rPr>
          <w:rFonts w:hint="eastAsia"/>
        </w:rPr>
        <w:t>《中华人民共和国耕地占用税法》第十二条第一款</w:t>
      </w:r>
      <w:r>
        <w:rPr>
          <w:rFonts w:hint="eastAsia"/>
          <w:lang w:eastAsia="zh-CN"/>
        </w:rPr>
        <w:t>、第二款</w:t>
      </w:r>
    </w:p>
    <w:p>
      <w:pPr>
        <w:pStyle w:val="20"/>
        <w:keepNext w:val="0"/>
        <w:keepLines w:val="0"/>
        <w:pageBreakBefore w:val="0"/>
        <w:widowControl w:val="0"/>
        <w:kinsoku/>
        <w:wordWrap/>
        <w:overflowPunct/>
        <w:topLinePunct w:val="0"/>
        <w:autoSpaceDE/>
        <w:autoSpaceDN/>
        <w:bidi w:val="0"/>
        <w:textAlignment w:val="auto"/>
        <w:rPr>
          <w:rFonts w:hint="eastAsia"/>
        </w:rPr>
      </w:pPr>
      <w:r>
        <w:rPr>
          <w:rFonts w:hint="eastAsia"/>
          <w:lang w:val="en-US" w:eastAsia="zh-CN"/>
        </w:rPr>
        <w:t>2.</w:t>
      </w:r>
      <w:r>
        <w:rPr>
          <w:rFonts w:hint="eastAsia"/>
          <w:lang w:eastAsia="zh-CN"/>
        </w:rPr>
        <w:t>《黑龙江省人民代表大会常务委员会 关于黑龙江省耕地占用税适用税额的决定》（2019年8月16日黑龙江省第十三届人民代表大会常务委员会第十三次会议通过）</w:t>
      </w:r>
    </w:p>
    <w:p>
      <w:pPr>
        <w:keepNext w:val="0"/>
        <w:keepLines w:val="0"/>
        <w:pageBreakBefore w:val="0"/>
        <w:widowControl w:val="0"/>
        <w:kinsoku/>
        <w:wordWrap/>
        <w:overflowPunct/>
        <w:topLinePunct w:val="0"/>
        <w:autoSpaceDE/>
        <w:autoSpaceDN/>
        <w:bidi w:val="0"/>
        <w:textAlignment w:val="auto"/>
        <w:rPr>
          <w:rFonts w:hint="eastAsia"/>
        </w:rPr>
      </w:pPr>
    </w:p>
    <w:p>
      <w:pPr>
        <w:bidi w:val="0"/>
        <w:rPr>
          <w:rFonts w:hint="default"/>
          <w:lang w:val="en-US" w:eastAsia="zh-CN"/>
        </w:rPr>
      </w:pPr>
    </w:p>
    <w:p>
      <w:pPr>
        <w:pStyle w:val="3"/>
        <w:keepNext w:val="0"/>
        <w:keepLines w:val="0"/>
        <w:pageBreakBefore w:val="0"/>
        <w:widowControl w:val="0"/>
        <w:kinsoku/>
        <w:wordWrap/>
        <w:overflowPunct/>
        <w:topLinePunct w:val="0"/>
        <w:autoSpaceDE/>
        <w:autoSpaceDN/>
        <w:bidi w:val="0"/>
        <w:textAlignment w:val="auto"/>
        <w:rPr>
          <w:rFonts w:hint="eastAsia"/>
          <w:lang w:val="en-US" w:eastAsia="zh-CN"/>
        </w:rPr>
      </w:pPr>
      <w:bookmarkStart w:id="37" w:name="_Toc22533"/>
      <w:r>
        <w:rPr>
          <w:rFonts w:hint="eastAsia"/>
          <w:lang w:val="en-US" w:eastAsia="zh-CN"/>
        </w:rPr>
        <w:t>第六部分 非税收入</w:t>
      </w:r>
      <w:bookmarkEnd w:id="37"/>
    </w:p>
    <w:p>
      <w:pPr>
        <w:pStyle w:val="5"/>
        <w:keepNext w:val="0"/>
        <w:keepLines w:val="0"/>
        <w:pageBreakBefore w:val="0"/>
        <w:widowControl w:val="0"/>
        <w:numPr>
          <w:ilvl w:val="0"/>
          <w:numId w:val="1"/>
        </w:numPr>
        <w:kinsoku/>
        <w:wordWrap/>
        <w:overflowPunct/>
        <w:topLinePunct w:val="0"/>
        <w:autoSpaceDE/>
        <w:autoSpaceDN/>
        <w:bidi w:val="0"/>
        <w:adjustRightInd/>
        <w:snapToGrid/>
        <w:spacing w:line="416" w:lineRule="auto"/>
        <w:ind w:left="0" w:leftChars="0" w:firstLine="0" w:firstLineChars="0"/>
        <w:textAlignment w:val="auto"/>
        <w:outlineLvl w:val="1"/>
        <w:rPr>
          <w:rFonts w:hint="eastAsia"/>
        </w:rPr>
      </w:pPr>
      <w:bookmarkStart w:id="38" w:name="_Toc26937"/>
      <w:r>
        <w:rPr>
          <w:rFonts w:hint="eastAsia" w:ascii="宋体" w:hAnsi="宋体" w:eastAsia="宋体" w:cs="宋体"/>
        </w:rPr>
        <w:t>对取得排污权的单位及个人征收排污权使用费</w:t>
      </w:r>
      <w:bookmarkEnd w:id="38"/>
    </w:p>
    <w:p>
      <w:pPr>
        <w:pStyle w:val="6"/>
        <w:keepNext w:val="0"/>
        <w:keepLines w:val="0"/>
        <w:pageBreakBefore w:val="0"/>
        <w:widowControl w:val="0"/>
        <w:kinsoku/>
        <w:wordWrap/>
        <w:overflowPunct/>
        <w:topLinePunct w:val="0"/>
        <w:autoSpaceDE/>
        <w:autoSpaceDN/>
        <w:bidi w:val="0"/>
        <w:textAlignment w:val="auto"/>
        <w:rPr>
          <w:rFonts w:hint="eastAsia"/>
        </w:rPr>
      </w:pPr>
      <w:r>
        <w:rPr>
          <w:rFonts w:hint="eastAsia"/>
        </w:rPr>
        <w:t>【政策内容】</w:t>
      </w:r>
    </w:p>
    <w:p>
      <w:pPr>
        <w:keepNext w:val="0"/>
        <w:keepLines w:val="0"/>
        <w:pageBreakBefore w:val="0"/>
        <w:widowControl w:val="0"/>
        <w:kinsoku/>
        <w:wordWrap/>
        <w:overflowPunct/>
        <w:topLinePunct w:val="0"/>
        <w:autoSpaceDE/>
        <w:autoSpaceDN/>
        <w:bidi w:val="0"/>
        <w:textAlignment w:val="auto"/>
        <w:rPr>
          <w:rFonts w:hint="eastAsia"/>
          <w:color w:val="FF0000"/>
          <w:lang w:eastAsia="zh-CN"/>
        </w:rPr>
      </w:pPr>
      <w:r>
        <w:rPr>
          <w:rFonts w:hint="eastAsia"/>
        </w:rPr>
        <w:t>对现有排污单位以及新建项目排污权和改建、扩建项目新增排污权的中标人</w:t>
      </w:r>
      <w:r>
        <w:rPr>
          <w:rFonts w:hint="eastAsia"/>
          <w:highlight w:val="none"/>
        </w:rPr>
        <w:t>征收排污权使用费。</w:t>
      </w:r>
    </w:p>
    <w:p>
      <w:pPr>
        <w:bidi w:val="0"/>
        <w:rPr>
          <w:rFonts w:hint="eastAsia"/>
          <w:lang w:eastAsia="zh-CN"/>
        </w:rPr>
      </w:pPr>
      <w:r>
        <w:rPr>
          <w:rFonts w:hint="eastAsia"/>
          <w:lang w:val="en-US" w:eastAsia="zh-CN"/>
        </w:rPr>
        <w:t>黑龙江省</w:t>
      </w:r>
      <w:r>
        <w:rPr>
          <w:rFonts w:hint="eastAsia"/>
          <w:lang w:eastAsia="zh-CN"/>
        </w:rPr>
        <w:t>试点城市新建项目排污权和改建、扩建项目新增排污权，以及现有排污单位在排污许可证核定的排污权基础上新增排污权，采取市场公开出让方式取得。出让底价为：哈尔滨市二氧化硫、氮氧化物每年每吨2800元，化学需氧量、氨氮每年每吨1500元；双鸭山市、齐齐哈尔市二氧化硫、氮氧化物每年每吨2000元；化学需氧量、氨氮每年每吨1500元；佳木斯市二氧化硫每年每吨2000元。</w:t>
      </w:r>
    </w:p>
    <w:p>
      <w:pPr>
        <w:pStyle w:val="6"/>
        <w:keepNext w:val="0"/>
        <w:keepLines w:val="0"/>
        <w:pageBreakBefore w:val="0"/>
        <w:widowControl w:val="0"/>
        <w:kinsoku/>
        <w:wordWrap/>
        <w:overflowPunct/>
        <w:topLinePunct w:val="0"/>
        <w:autoSpaceDE/>
        <w:autoSpaceDN/>
        <w:bidi w:val="0"/>
        <w:textAlignment w:val="auto"/>
        <w:rPr>
          <w:rFonts w:hint="eastAsia"/>
        </w:rPr>
      </w:pPr>
      <w:r>
        <w:rPr>
          <w:rFonts w:hint="eastAsia"/>
        </w:rPr>
        <w:t>【政策依据】</w:t>
      </w:r>
    </w:p>
    <w:p>
      <w:pPr>
        <w:pStyle w:val="20"/>
        <w:keepNext w:val="0"/>
        <w:keepLines w:val="0"/>
        <w:pageBreakBefore w:val="0"/>
        <w:widowControl w:val="0"/>
        <w:kinsoku/>
        <w:wordWrap/>
        <w:overflowPunct/>
        <w:topLinePunct w:val="0"/>
        <w:autoSpaceDE/>
        <w:autoSpaceDN/>
        <w:bidi w:val="0"/>
        <w:textAlignment w:val="auto"/>
        <w:rPr>
          <w:rFonts w:hint="eastAsia"/>
        </w:rPr>
      </w:pPr>
      <w:r>
        <w:rPr>
          <w:rFonts w:hint="eastAsia"/>
        </w:rPr>
        <w:t>《排污权出让收入管理暂行办法》（财税〔2015〕61号）</w:t>
      </w:r>
    </w:p>
    <w:p>
      <w:pPr>
        <w:keepNext w:val="0"/>
        <w:keepLines w:val="0"/>
        <w:pageBreakBefore w:val="0"/>
        <w:widowControl w:val="0"/>
        <w:kinsoku/>
        <w:wordWrap/>
        <w:overflowPunct/>
        <w:topLinePunct w:val="0"/>
        <w:autoSpaceDE/>
        <w:autoSpaceDN/>
        <w:bidi w:val="0"/>
        <w:textAlignment w:val="auto"/>
        <w:rPr>
          <w:rFonts w:hint="eastAsia"/>
        </w:rPr>
      </w:pPr>
    </w:p>
    <w:p>
      <w:pPr>
        <w:keepNext w:val="0"/>
        <w:keepLines w:val="0"/>
        <w:pageBreakBefore w:val="0"/>
        <w:widowControl w:val="0"/>
        <w:kinsoku/>
        <w:wordWrap/>
        <w:overflowPunct/>
        <w:topLinePunct w:val="0"/>
        <w:autoSpaceDE/>
        <w:autoSpaceDN/>
        <w:bidi w:val="0"/>
        <w:textAlignment w:val="auto"/>
        <w:rPr>
          <w:rFonts w:hint="eastAsia"/>
        </w:rPr>
      </w:pPr>
    </w:p>
    <w:p>
      <w:pPr>
        <w:pStyle w:val="5"/>
        <w:keepNext w:val="0"/>
        <w:keepLines w:val="0"/>
        <w:pageBreakBefore w:val="0"/>
        <w:widowControl w:val="0"/>
        <w:numPr>
          <w:ilvl w:val="0"/>
          <w:numId w:val="1"/>
        </w:numPr>
        <w:kinsoku/>
        <w:wordWrap/>
        <w:overflowPunct/>
        <w:topLinePunct w:val="0"/>
        <w:autoSpaceDE/>
        <w:autoSpaceDN/>
        <w:bidi w:val="0"/>
        <w:adjustRightInd/>
        <w:snapToGrid/>
        <w:spacing w:line="416" w:lineRule="auto"/>
        <w:ind w:left="0" w:leftChars="0" w:firstLine="0" w:firstLineChars="0"/>
        <w:textAlignment w:val="auto"/>
        <w:outlineLvl w:val="1"/>
        <w:rPr>
          <w:rFonts w:hint="eastAsia"/>
        </w:rPr>
      </w:pPr>
      <w:bookmarkStart w:id="39" w:name="_Toc32106"/>
      <w:r>
        <w:rPr>
          <w:rFonts w:hint="eastAsia" w:ascii="宋体" w:hAnsi="宋体" w:eastAsia="宋体" w:cs="宋体"/>
        </w:rPr>
        <w:t>对符合条件的销售电量征收可再生能源发展基金</w:t>
      </w:r>
      <w:bookmarkEnd w:id="39"/>
    </w:p>
    <w:p>
      <w:pPr>
        <w:pStyle w:val="6"/>
        <w:keepNext w:val="0"/>
        <w:keepLines w:val="0"/>
        <w:pageBreakBefore w:val="0"/>
        <w:widowControl w:val="0"/>
        <w:kinsoku/>
        <w:wordWrap/>
        <w:overflowPunct/>
        <w:topLinePunct w:val="0"/>
        <w:autoSpaceDE/>
        <w:autoSpaceDN/>
        <w:bidi w:val="0"/>
        <w:textAlignment w:val="auto"/>
        <w:rPr>
          <w:rFonts w:hint="eastAsia"/>
        </w:rPr>
      </w:pPr>
      <w:r>
        <w:rPr>
          <w:rFonts w:hint="eastAsia"/>
        </w:rPr>
        <w:t>【政策内容】</w:t>
      </w:r>
    </w:p>
    <w:p>
      <w:pPr>
        <w:bidi w:val="0"/>
        <w:rPr>
          <w:rFonts w:hint="eastAsia"/>
          <w:lang w:eastAsia="zh-CN"/>
        </w:rPr>
      </w:pPr>
      <w:r>
        <w:rPr>
          <w:rFonts w:hint="eastAsia"/>
          <w:lang w:eastAsia="zh-CN"/>
        </w:rPr>
        <w:t>自2016年1月1日起，将各省（自治区、直辖市，不含新疆维吾尔自治区、西藏自治区）居民生活和农业生产以外全部销售电量的基金征收标准，由每千瓦时1.5分提高到每千瓦时1.9分。</w:t>
      </w:r>
    </w:p>
    <w:p>
      <w:pPr>
        <w:pStyle w:val="6"/>
        <w:keepNext w:val="0"/>
        <w:keepLines w:val="0"/>
        <w:pageBreakBefore w:val="0"/>
        <w:widowControl w:val="0"/>
        <w:kinsoku/>
        <w:wordWrap/>
        <w:overflowPunct/>
        <w:topLinePunct w:val="0"/>
        <w:autoSpaceDE/>
        <w:autoSpaceDN/>
        <w:bidi w:val="0"/>
        <w:textAlignment w:val="auto"/>
        <w:rPr>
          <w:rFonts w:hint="eastAsia"/>
        </w:rPr>
      </w:pPr>
      <w:r>
        <w:rPr>
          <w:rFonts w:hint="eastAsia"/>
        </w:rPr>
        <w:t>【政策依据】</w:t>
      </w:r>
    </w:p>
    <w:p>
      <w:pPr>
        <w:pStyle w:val="20"/>
        <w:keepNext w:val="0"/>
        <w:keepLines w:val="0"/>
        <w:pageBreakBefore w:val="0"/>
        <w:widowControl w:val="0"/>
        <w:kinsoku/>
        <w:wordWrap/>
        <w:overflowPunct/>
        <w:topLinePunct w:val="0"/>
        <w:autoSpaceDE/>
        <w:autoSpaceDN/>
        <w:bidi w:val="0"/>
        <w:textAlignment w:val="auto"/>
        <w:rPr>
          <w:rFonts w:hint="eastAsia"/>
        </w:rPr>
      </w:pPr>
      <w:r>
        <w:rPr>
          <w:rFonts w:hint="eastAsia"/>
        </w:rPr>
        <w:t>《财政部 国家发展改革委关于提高可再生能源发展基金征收标准等有关问题的通知》（财税〔2016〕4号）</w:t>
      </w:r>
    </w:p>
    <w:p>
      <w:pPr>
        <w:bidi w:val="0"/>
        <w:rPr>
          <w:rFonts w:hint="eastAsia"/>
        </w:rPr>
      </w:pPr>
    </w:p>
    <w:p>
      <w:pPr>
        <w:bidi w:val="0"/>
        <w:rPr>
          <w:rFonts w:hint="eastAsia"/>
        </w:rPr>
      </w:pPr>
    </w:p>
    <w:p>
      <w:pPr>
        <w:pStyle w:val="5"/>
        <w:keepNext w:val="0"/>
        <w:keepLines w:val="0"/>
        <w:pageBreakBefore w:val="0"/>
        <w:widowControl w:val="0"/>
        <w:numPr>
          <w:ilvl w:val="0"/>
          <w:numId w:val="1"/>
        </w:numPr>
        <w:kinsoku/>
        <w:wordWrap/>
        <w:overflowPunct/>
        <w:topLinePunct w:val="0"/>
        <w:autoSpaceDE/>
        <w:autoSpaceDN/>
        <w:bidi w:val="0"/>
        <w:adjustRightInd/>
        <w:snapToGrid/>
        <w:spacing w:line="416" w:lineRule="auto"/>
        <w:ind w:left="0" w:leftChars="0" w:firstLine="0" w:firstLineChars="0"/>
        <w:textAlignment w:val="auto"/>
        <w:outlineLvl w:val="1"/>
        <w:rPr>
          <w:rFonts w:hint="eastAsia"/>
        </w:rPr>
      </w:pPr>
      <w:bookmarkStart w:id="40" w:name="_Toc7199"/>
      <w:r>
        <w:rPr>
          <w:rFonts w:hint="eastAsia" w:ascii="宋体" w:hAnsi="宋体" w:eastAsia="宋体" w:cs="宋体"/>
        </w:rPr>
        <w:t>对损坏水土保持的单位和个人征收水土保持补偿费</w:t>
      </w:r>
      <w:bookmarkEnd w:id="40"/>
    </w:p>
    <w:p>
      <w:pPr>
        <w:pStyle w:val="6"/>
        <w:keepNext w:val="0"/>
        <w:keepLines w:val="0"/>
        <w:pageBreakBefore w:val="0"/>
        <w:widowControl w:val="0"/>
        <w:kinsoku/>
        <w:wordWrap/>
        <w:overflowPunct/>
        <w:topLinePunct w:val="0"/>
        <w:autoSpaceDE/>
        <w:autoSpaceDN/>
        <w:bidi w:val="0"/>
        <w:textAlignment w:val="auto"/>
        <w:rPr>
          <w:rFonts w:hint="eastAsia"/>
        </w:rPr>
      </w:pPr>
      <w:r>
        <w:rPr>
          <w:rFonts w:hint="eastAsia"/>
        </w:rPr>
        <w:t>【政策内容】</w:t>
      </w:r>
    </w:p>
    <w:p>
      <w:pPr>
        <w:keepNext w:val="0"/>
        <w:keepLines w:val="0"/>
        <w:pageBreakBefore w:val="0"/>
        <w:widowControl w:val="0"/>
        <w:kinsoku/>
        <w:wordWrap/>
        <w:overflowPunct/>
        <w:topLinePunct w:val="0"/>
        <w:autoSpaceDE/>
        <w:autoSpaceDN/>
        <w:bidi w:val="0"/>
        <w:textAlignment w:val="auto"/>
        <w:rPr>
          <w:rFonts w:hint="eastAsia"/>
          <w:highlight w:val="yellow"/>
        </w:rPr>
      </w:pPr>
      <w:r>
        <w:rPr>
          <w:rFonts w:hint="eastAsia"/>
        </w:rPr>
        <w:t>对损坏水土保持设施和地貌植被、不能恢复原有水土保持功能的生产建设单位和个人</w:t>
      </w:r>
      <w:r>
        <w:rPr>
          <w:rFonts w:hint="eastAsia"/>
          <w:highlight w:val="none"/>
        </w:rPr>
        <w:t>征收水土保持补偿费。</w:t>
      </w:r>
    </w:p>
    <w:p>
      <w:pPr>
        <w:bidi w:val="0"/>
        <w:rPr>
          <w:rFonts w:hint="default"/>
          <w:lang w:val="en-US" w:eastAsia="zh-CN"/>
        </w:rPr>
      </w:pPr>
      <w:r>
        <w:rPr>
          <w:rFonts w:hint="eastAsia"/>
          <w:lang w:val="en-US" w:eastAsia="zh-CN"/>
        </w:rPr>
        <w:t>黑龙江省征收标准如下：</w:t>
      </w:r>
    </w:p>
    <w:p>
      <w:pPr>
        <w:bidi w:val="0"/>
        <w:rPr>
          <w:rFonts w:hint="eastAsia"/>
          <w:lang w:eastAsia="zh-CN"/>
        </w:rPr>
      </w:pPr>
      <w:r>
        <w:rPr>
          <w:rFonts w:hint="eastAsia"/>
          <w:lang w:val="en-US" w:eastAsia="zh-CN"/>
        </w:rPr>
        <w:t>1.</w:t>
      </w:r>
      <w:r>
        <w:rPr>
          <w:rFonts w:hint="eastAsia"/>
          <w:lang w:eastAsia="zh-CN"/>
        </w:rPr>
        <w:t>对开办一般性生产建设项目的，按照征占用土地面积每平米1.50元（不足1平方米的按1平方米计，下同）一次性计征。对水利水电工程建设项目，水库淹没区不在水土保持补偿费计征范围之内。</w:t>
      </w:r>
    </w:p>
    <w:p>
      <w:pPr>
        <w:bidi w:val="0"/>
        <w:rPr>
          <w:rFonts w:hint="eastAsia"/>
          <w:lang w:eastAsia="zh-CN"/>
        </w:rPr>
      </w:pPr>
      <w:r>
        <w:rPr>
          <w:rFonts w:hint="eastAsia"/>
          <w:lang w:val="en-US" w:eastAsia="zh-CN"/>
        </w:rPr>
        <w:t>2.</w:t>
      </w:r>
      <w:r>
        <w:rPr>
          <w:rFonts w:hint="eastAsia"/>
          <w:lang w:eastAsia="zh-CN"/>
        </w:rPr>
        <w:t>开采矿产资源的，建设期间，按照征占用土地面积每平米1.50元一次性计征。</w:t>
      </w:r>
    </w:p>
    <w:p>
      <w:pPr>
        <w:bidi w:val="0"/>
        <w:rPr>
          <w:rFonts w:hint="eastAsia"/>
          <w:lang w:eastAsia="zh-CN"/>
        </w:rPr>
      </w:pPr>
      <w:r>
        <w:rPr>
          <w:rFonts w:hint="eastAsia"/>
          <w:lang w:eastAsia="zh-CN"/>
        </w:rPr>
        <w:t>开采期间，对石油、天然气以外的矿产资源按照开采量（釆掘、釆剥总量）计征，其中：煤炭按每吨0.50元征收，其它矿产资源按每吨1.20元征收。</w:t>
      </w:r>
    </w:p>
    <w:p>
      <w:pPr>
        <w:bidi w:val="0"/>
        <w:rPr>
          <w:rFonts w:hint="eastAsia"/>
          <w:lang w:eastAsia="zh-CN"/>
        </w:rPr>
      </w:pPr>
      <w:r>
        <w:rPr>
          <w:rFonts w:hint="eastAsia"/>
          <w:lang w:eastAsia="zh-CN"/>
        </w:rPr>
        <w:t>石油、天然气根据油、气生产井（不包括水井、勘探井）占地面积按年征收。每口油气井占地按不超过2000平方米计算;对丛式井每增加一口井，按增加计征面积不超过400平方米计算具体占地面积按国家有关规定执行，每平方米每年按1.20元征收。</w:t>
      </w:r>
    </w:p>
    <w:p>
      <w:pPr>
        <w:bidi w:val="0"/>
        <w:rPr>
          <w:rFonts w:hint="eastAsia"/>
          <w:lang w:eastAsia="zh-CN"/>
        </w:rPr>
      </w:pPr>
      <w:r>
        <w:rPr>
          <w:rFonts w:hint="eastAsia"/>
          <w:lang w:val="en-US" w:eastAsia="zh-CN"/>
        </w:rPr>
        <w:t>3.</w:t>
      </w:r>
      <w:r>
        <w:rPr>
          <w:rFonts w:hint="eastAsia"/>
          <w:lang w:eastAsia="zh-CN"/>
        </w:rPr>
        <w:t>取土、挖砂（河道釆砂除外）、采石以及烧制砖、瓦、瓷、石灰的，按照取土、挖砂、采石量每立方米1.20元（不足1立方米的按1立方米计，下同）征收。对缴纳义务人已按前两种方式计征水土保持补偿费的，不再重复计征。</w:t>
      </w:r>
    </w:p>
    <w:p>
      <w:pPr>
        <w:bidi w:val="0"/>
        <w:rPr>
          <w:rFonts w:hint="eastAsia"/>
          <w:lang w:eastAsia="zh-CN"/>
        </w:rPr>
      </w:pPr>
      <w:r>
        <w:rPr>
          <w:rFonts w:hint="eastAsia"/>
          <w:lang w:val="en-US" w:eastAsia="zh-CN"/>
        </w:rPr>
        <w:t>4.</w:t>
      </w:r>
      <w:r>
        <w:rPr>
          <w:rFonts w:hint="eastAsia"/>
          <w:lang w:eastAsia="zh-CN"/>
        </w:rPr>
        <w:t>排放废弃土、石、渣的，根据土、石、渣量，按照每立方米1.50元征收。对缴纳义务人已按照前三种方式计征水土保持补偿费的，不再重复计征。</w:t>
      </w:r>
    </w:p>
    <w:p>
      <w:pPr>
        <w:pStyle w:val="6"/>
        <w:keepNext w:val="0"/>
        <w:keepLines w:val="0"/>
        <w:pageBreakBefore w:val="0"/>
        <w:widowControl w:val="0"/>
        <w:kinsoku/>
        <w:wordWrap/>
        <w:overflowPunct/>
        <w:topLinePunct w:val="0"/>
        <w:autoSpaceDE/>
        <w:autoSpaceDN/>
        <w:bidi w:val="0"/>
        <w:ind w:firstLine="321" w:firstLineChars="100"/>
        <w:textAlignment w:val="auto"/>
        <w:rPr>
          <w:rFonts w:hint="eastAsia"/>
        </w:rPr>
      </w:pPr>
      <w:r>
        <w:rPr>
          <w:rFonts w:hint="eastAsia"/>
        </w:rPr>
        <w:t>【政策依据】</w:t>
      </w:r>
    </w:p>
    <w:p>
      <w:pPr>
        <w:pStyle w:val="20"/>
        <w:keepNext w:val="0"/>
        <w:keepLines w:val="0"/>
        <w:pageBreakBefore w:val="0"/>
        <w:widowControl w:val="0"/>
        <w:kinsoku/>
        <w:wordWrap/>
        <w:overflowPunct/>
        <w:topLinePunct w:val="0"/>
        <w:autoSpaceDE/>
        <w:autoSpaceDN/>
        <w:bidi w:val="0"/>
        <w:textAlignment w:val="auto"/>
        <w:rPr>
          <w:rFonts w:hint="eastAsia"/>
        </w:rPr>
      </w:pPr>
      <w:r>
        <w:rPr>
          <w:rFonts w:hint="eastAsia"/>
        </w:rPr>
        <w:t>《中华人民共和国水土保持法》第三十二条</w:t>
      </w:r>
    </w:p>
    <w:p>
      <w:pPr>
        <w:keepNext w:val="0"/>
        <w:keepLines w:val="0"/>
        <w:pageBreakBefore w:val="0"/>
        <w:widowControl w:val="0"/>
        <w:kinsoku/>
        <w:wordWrap/>
        <w:overflowPunct/>
        <w:topLinePunct w:val="0"/>
        <w:autoSpaceDE/>
        <w:autoSpaceDN/>
        <w:bidi w:val="0"/>
        <w:textAlignment w:val="auto"/>
        <w:rPr>
          <w:rFonts w:hint="default"/>
          <w:lang w:val="en-US" w:eastAsia="zh-CN"/>
        </w:rPr>
      </w:pPr>
    </w:p>
    <w:sectPr>
      <w:footerReference r:id="rId6" w:type="default"/>
      <w:pgSz w:w="11906" w:h="16838"/>
      <w:pgMar w:top="1440" w:right="1800" w:bottom="1440" w:left="1800" w:header="851" w:footer="992" w:gutter="0"/>
      <w:pgNumType w:fmt="decimal"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altName w:val="黑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0"/>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0lY7tAAAAAFAQAA&#10;DwAAAAAAAAABACAAAAAiAAAAZHJzL2Rvd25yZXYueG1sUEsBAhQAFAAAAAgAh07iQFX4b4XoAQAA&#10;yAMAAA4AAAAAAAAAAQAgAAAAHwEAAGRycy9lMm9Eb2MueG1sUEsFBgAAAAAGAAYAWQEAAHkFAAAA&#10;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0"/>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0lY7tAAAAAFAQAA&#10;DwAAAAAAAAABACAAAAAiAAAAZHJzL2Rvd25yZXYueG1sUEsBAhQAFAAAAAgAh07iQCAIXRPoAQAA&#10;yAMAAA4AAAAAAAAAAQAgAAAAHwEAAGRycy9lMm9Eb2MueG1sUEsFBgAAAAAGAAYAWQEAAHkFAAAA&#10;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4EA5D8"/>
    <w:multiLevelType w:val="singleLevel"/>
    <w:tmpl w:val="2B4EA5D8"/>
    <w:lvl w:ilvl="0" w:tentative="0">
      <w:start w:val="1"/>
      <w:numFmt w:val="decimal"/>
      <w:suff w:val="nothing"/>
      <w:lvlText w:val="%1."/>
      <w:lvlJc w:val="left"/>
      <w:pPr>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zZjgxZjg5MGZlYjkxNzhmMzk1ZGNmYjZmYzM3ZGMifQ=="/>
  </w:docVars>
  <w:rsids>
    <w:rsidRoot w:val="117545D3"/>
    <w:rsid w:val="00AB4661"/>
    <w:rsid w:val="013B540F"/>
    <w:rsid w:val="025A34EF"/>
    <w:rsid w:val="034C3ED7"/>
    <w:rsid w:val="035F3CD6"/>
    <w:rsid w:val="042914D7"/>
    <w:rsid w:val="056D3710"/>
    <w:rsid w:val="070C4371"/>
    <w:rsid w:val="072814A7"/>
    <w:rsid w:val="082C348C"/>
    <w:rsid w:val="0ADB3062"/>
    <w:rsid w:val="0AEE2A7A"/>
    <w:rsid w:val="0B024E9B"/>
    <w:rsid w:val="0B3D7D26"/>
    <w:rsid w:val="0BDA242E"/>
    <w:rsid w:val="0BE1178F"/>
    <w:rsid w:val="0C3F793F"/>
    <w:rsid w:val="0C6A6AAD"/>
    <w:rsid w:val="0D9217B9"/>
    <w:rsid w:val="0E835B7C"/>
    <w:rsid w:val="0EC97A1E"/>
    <w:rsid w:val="0F1E568F"/>
    <w:rsid w:val="0F262685"/>
    <w:rsid w:val="0F377EA0"/>
    <w:rsid w:val="0F7636CB"/>
    <w:rsid w:val="10193B03"/>
    <w:rsid w:val="10C50696"/>
    <w:rsid w:val="117545D3"/>
    <w:rsid w:val="11B02CA9"/>
    <w:rsid w:val="11FA72C4"/>
    <w:rsid w:val="12733D2D"/>
    <w:rsid w:val="127E5191"/>
    <w:rsid w:val="12C80001"/>
    <w:rsid w:val="12DB646A"/>
    <w:rsid w:val="1387411B"/>
    <w:rsid w:val="14AA0101"/>
    <w:rsid w:val="15271BEA"/>
    <w:rsid w:val="161353C6"/>
    <w:rsid w:val="1A3B4732"/>
    <w:rsid w:val="1CAC6131"/>
    <w:rsid w:val="1D784511"/>
    <w:rsid w:val="1DE362BA"/>
    <w:rsid w:val="1E3D4A14"/>
    <w:rsid w:val="219A5EFD"/>
    <w:rsid w:val="22DB5E22"/>
    <w:rsid w:val="24FA6D09"/>
    <w:rsid w:val="28CD425F"/>
    <w:rsid w:val="291D7223"/>
    <w:rsid w:val="2B89755F"/>
    <w:rsid w:val="2C151BFD"/>
    <w:rsid w:val="2C3A0E2D"/>
    <w:rsid w:val="2DAD086F"/>
    <w:rsid w:val="2DC77469"/>
    <w:rsid w:val="2E040E89"/>
    <w:rsid w:val="2E474A08"/>
    <w:rsid w:val="2EA4118F"/>
    <w:rsid w:val="2F5F408B"/>
    <w:rsid w:val="30147BA9"/>
    <w:rsid w:val="313A6116"/>
    <w:rsid w:val="32FC63AF"/>
    <w:rsid w:val="345B60A2"/>
    <w:rsid w:val="34D12529"/>
    <w:rsid w:val="35E20C21"/>
    <w:rsid w:val="360C5C31"/>
    <w:rsid w:val="364A1362"/>
    <w:rsid w:val="365F090D"/>
    <w:rsid w:val="37A021A8"/>
    <w:rsid w:val="37DE4F22"/>
    <w:rsid w:val="392B55AD"/>
    <w:rsid w:val="39673821"/>
    <w:rsid w:val="3A256F82"/>
    <w:rsid w:val="3D2D120E"/>
    <w:rsid w:val="3E726FA4"/>
    <w:rsid w:val="3FA3695F"/>
    <w:rsid w:val="42CF2CFF"/>
    <w:rsid w:val="44735770"/>
    <w:rsid w:val="45065635"/>
    <w:rsid w:val="460652E8"/>
    <w:rsid w:val="46080139"/>
    <w:rsid w:val="470A79B1"/>
    <w:rsid w:val="47DE73A4"/>
    <w:rsid w:val="480D651A"/>
    <w:rsid w:val="48B436B6"/>
    <w:rsid w:val="48BA6AEF"/>
    <w:rsid w:val="49244366"/>
    <w:rsid w:val="49C16D0F"/>
    <w:rsid w:val="4A0D0FC7"/>
    <w:rsid w:val="4A5926E0"/>
    <w:rsid w:val="4AC9433B"/>
    <w:rsid w:val="4BA1774E"/>
    <w:rsid w:val="4DA4631D"/>
    <w:rsid w:val="4DFE7547"/>
    <w:rsid w:val="4E247E3E"/>
    <w:rsid w:val="4E2D67AA"/>
    <w:rsid w:val="4EA8407F"/>
    <w:rsid w:val="4ECA7931"/>
    <w:rsid w:val="4F061E69"/>
    <w:rsid w:val="4F5A0CD3"/>
    <w:rsid w:val="539B34DD"/>
    <w:rsid w:val="540F3008"/>
    <w:rsid w:val="55B300C2"/>
    <w:rsid w:val="56CA74C8"/>
    <w:rsid w:val="56D820B0"/>
    <w:rsid w:val="56DC6DE8"/>
    <w:rsid w:val="57A66A63"/>
    <w:rsid w:val="57F10A6B"/>
    <w:rsid w:val="59EA2A03"/>
    <w:rsid w:val="5A4D1A8E"/>
    <w:rsid w:val="5AFB529F"/>
    <w:rsid w:val="5B317ADF"/>
    <w:rsid w:val="5C2C0286"/>
    <w:rsid w:val="5DC371CD"/>
    <w:rsid w:val="5F464091"/>
    <w:rsid w:val="60027B28"/>
    <w:rsid w:val="613670EE"/>
    <w:rsid w:val="615B4F1C"/>
    <w:rsid w:val="620F647D"/>
    <w:rsid w:val="623B3444"/>
    <w:rsid w:val="63A751AE"/>
    <w:rsid w:val="63D51FDC"/>
    <w:rsid w:val="63FC67DB"/>
    <w:rsid w:val="64B82188"/>
    <w:rsid w:val="662A2118"/>
    <w:rsid w:val="67536381"/>
    <w:rsid w:val="681D3F63"/>
    <w:rsid w:val="6A3A44B6"/>
    <w:rsid w:val="6C210ACB"/>
    <w:rsid w:val="6D8D0050"/>
    <w:rsid w:val="6F3E1DC2"/>
    <w:rsid w:val="6FB67F28"/>
    <w:rsid w:val="733B6038"/>
    <w:rsid w:val="7353032E"/>
    <w:rsid w:val="737B346E"/>
    <w:rsid w:val="75AA1E73"/>
    <w:rsid w:val="762D7B89"/>
    <w:rsid w:val="763E2A11"/>
    <w:rsid w:val="78A30785"/>
    <w:rsid w:val="78E855DC"/>
    <w:rsid w:val="7BE4795E"/>
    <w:rsid w:val="7E0977DA"/>
    <w:rsid w:val="7EF96485"/>
    <w:rsid w:val="7FDE7A4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420" w:firstLineChars="200"/>
      <w:jc w:val="both"/>
    </w:pPr>
    <w:rPr>
      <w:rFonts w:ascii="仿宋_GB2312" w:hAnsi="仿宋_GB2312" w:eastAsia="仿宋_GB2312" w:cs="Times New Roman"/>
      <w:kern w:val="2"/>
      <w:sz w:val="32"/>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9" w:lineRule="auto"/>
      <w:ind w:firstLine="0" w:firstLineChars="0"/>
      <w:outlineLvl w:val="0"/>
    </w:pPr>
    <w:rPr>
      <w:rFonts w:ascii="黑体" w:hAnsi="黑体" w:eastAsia="黑体"/>
      <w:b/>
      <w:kern w:val="44"/>
      <w:sz w:val="44"/>
    </w:rPr>
  </w:style>
  <w:style w:type="paragraph" w:styleId="4">
    <w:name w:val="heading 2"/>
    <w:basedOn w:val="1"/>
    <w:next w:val="1"/>
    <w:unhideWhenUsed/>
    <w:qFormat/>
    <w:uiPriority w:val="0"/>
    <w:pPr>
      <w:keepNext/>
      <w:keepLines/>
      <w:spacing w:before="260" w:beforeLines="0" w:beforeAutospacing="0" w:after="260" w:afterLines="0" w:afterAutospacing="0" w:line="416" w:lineRule="auto"/>
      <w:ind w:firstLine="0" w:firstLineChars="0"/>
      <w:outlineLvl w:val="1"/>
    </w:pPr>
    <w:rPr>
      <w:rFonts w:ascii="Arial" w:hAnsi="Arial" w:eastAsia="楷体_GB2312"/>
      <w:b/>
      <w:sz w:val="36"/>
    </w:rPr>
  </w:style>
  <w:style w:type="paragraph" w:styleId="5">
    <w:name w:val="heading 3"/>
    <w:basedOn w:val="1"/>
    <w:next w:val="1"/>
    <w:unhideWhenUsed/>
    <w:qFormat/>
    <w:uiPriority w:val="0"/>
    <w:pPr>
      <w:keepNext/>
      <w:keepLines/>
      <w:spacing w:before="260" w:beforeLines="0" w:beforeAutospacing="0" w:after="260" w:afterLines="0" w:afterAutospacing="0" w:line="416" w:lineRule="auto"/>
      <w:ind w:firstLine="0" w:firstLineChars="0"/>
      <w:outlineLvl w:val="2"/>
    </w:pPr>
    <w:rPr>
      <w:rFonts w:ascii="宋体" w:hAnsi="宋体" w:eastAsia="宋体"/>
      <w:b/>
    </w:rPr>
  </w:style>
  <w:style w:type="paragraph" w:styleId="6">
    <w:name w:val="heading 4"/>
    <w:basedOn w:val="1"/>
    <w:next w:val="1"/>
    <w:link w:val="16"/>
    <w:unhideWhenUsed/>
    <w:qFormat/>
    <w:uiPriority w:val="0"/>
    <w:pPr>
      <w:keepNext/>
      <w:keepLines/>
      <w:spacing w:before="260" w:beforeLines="0" w:beforeAutospacing="0" w:after="260" w:afterLines="0" w:afterAutospacing="0" w:line="416" w:lineRule="auto"/>
      <w:ind w:firstLine="0" w:firstLineChars="0"/>
      <w:outlineLvl w:val="3"/>
    </w:pPr>
    <w:rPr>
      <w:rFonts w:ascii="Arial" w:hAnsi="Arial" w:eastAsia="宋体"/>
      <w:b/>
    </w:rPr>
  </w:style>
  <w:style w:type="character" w:default="1" w:styleId="15">
    <w:name w:val="Default Paragraph Font"/>
    <w:qFormat/>
    <w:uiPriority w:val="0"/>
  </w:style>
  <w:style w:type="table" w:default="1" w:styleId="14">
    <w:name w:val="Normal Table"/>
    <w:semiHidden/>
    <w:qFormat/>
    <w:uiPriority w:val="0"/>
    <w:tblPr>
      <w:tblStyle w:val="14"/>
      <w:tblCellMar>
        <w:top w:w="0" w:type="dxa"/>
        <w:left w:w="108" w:type="dxa"/>
        <w:bottom w:w="0" w:type="dxa"/>
        <w:right w:w="108" w:type="dxa"/>
      </w:tblCellMar>
    </w:tblPr>
  </w:style>
  <w:style w:type="paragraph" w:customStyle="1" w:styleId="2">
    <w:name w:val="Normal Indent1"/>
    <w:qFormat/>
    <w:uiPriority w:val="99"/>
    <w:pPr>
      <w:spacing w:line="660" w:lineRule="exact"/>
      <w:ind w:firstLine="720" w:firstLineChars="200"/>
    </w:pPr>
    <w:rPr>
      <w:rFonts w:ascii="Times New Roman" w:hAnsi="Times New Roman" w:eastAsia="楷体_GB2312" w:cs="Times New Roman"/>
      <w:kern w:val="0"/>
      <w:sz w:val="36"/>
      <w:szCs w:val="36"/>
      <w:lang w:val="en-US" w:eastAsia="zh-CN" w:bidi="ar-SA"/>
    </w:rPr>
  </w:style>
  <w:style w:type="paragraph" w:styleId="7">
    <w:name w:val="annotation text"/>
    <w:basedOn w:val="1"/>
    <w:uiPriority w:val="0"/>
    <w:pPr>
      <w:jc w:val="left"/>
    </w:pPr>
  </w:style>
  <w:style w:type="paragraph" w:styleId="8">
    <w:name w:val="Body Text"/>
    <w:basedOn w:val="1"/>
    <w:qFormat/>
    <w:uiPriority w:val="99"/>
    <w:pPr>
      <w:spacing w:after="120"/>
    </w:pPr>
  </w:style>
  <w:style w:type="paragraph" w:styleId="9">
    <w:name w:val="toc 3"/>
    <w:basedOn w:val="1"/>
    <w:next w:val="1"/>
    <w:qFormat/>
    <w:uiPriority w:val="0"/>
    <w:pPr>
      <w:ind w:left="840" w:leftChars="400"/>
    </w:p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link w:val="17"/>
    <w:qFormat/>
    <w:uiPriority w:val="0"/>
  </w:style>
  <w:style w:type="paragraph" w:styleId="13">
    <w:name w:val="toc 2"/>
    <w:basedOn w:val="1"/>
    <w:next w:val="1"/>
    <w:link w:val="18"/>
    <w:qFormat/>
    <w:uiPriority w:val="0"/>
    <w:pPr>
      <w:ind w:left="420" w:leftChars="200"/>
    </w:pPr>
    <w:rPr>
      <w:rFonts w:ascii="仿宋_GB2312" w:hAnsi="仿宋_GB2312" w:eastAsia="宋体"/>
      <w:sz w:val="28"/>
    </w:rPr>
  </w:style>
  <w:style w:type="character" w:customStyle="1" w:styleId="16">
    <w:name w:val="标题 4 Char"/>
    <w:link w:val="6"/>
    <w:uiPriority w:val="0"/>
    <w:rPr>
      <w:rFonts w:ascii="Arial" w:hAnsi="Arial" w:eastAsia="宋体"/>
      <w:b/>
    </w:rPr>
  </w:style>
  <w:style w:type="character" w:customStyle="1" w:styleId="17">
    <w:name w:val="目录 1 Char"/>
    <w:link w:val="12"/>
    <w:uiPriority w:val="0"/>
  </w:style>
  <w:style w:type="character" w:customStyle="1" w:styleId="18">
    <w:name w:val="目录 2 Char"/>
    <w:link w:val="13"/>
    <w:qFormat/>
    <w:uiPriority w:val="0"/>
    <w:rPr>
      <w:rFonts w:ascii="仿宋_GB2312" w:hAnsi="仿宋_GB2312" w:eastAsia="宋体"/>
      <w:sz w:val="28"/>
    </w:rPr>
  </w:style>
  <w:style w:type="paragraph" w:customStyle="1" w:styleId="19">
    <w:name w:val="正文首行缩进1"/>
    <w:qFormat/>
    <w:uiPriority w:val="0"/>
    <w:pPr>
      <w:widowControl w:val="0"/>
      <w:autoSpaceDE w:val="0"/>
      <w:autoSpaceDN w:val="0"/>
      <w:spacing w:before="100" w:beforeAutospacing="1" w:after="0" w:line="240" w:lineRule="auto"/>
      <w:ind w:left="0" w:right="0" w:firstLine="420" w:firstLineChars="100"/>
      <w:jc w:val="left"/>
    </w:pPr>
    <w:rPr>
      <w:rFonts w:ascii="Calibri" w:hAnsi="Calibri" w:eastAsia="仿宋_GB2312" w:cs="仿宋_GB2312"/>
      <w:kern w:val="0"/>
      <w:sz w:val="32"/>
      <w:szCs w:val="32"/>
      <w:lang w:val="zh-CN" w:eastAsia="zh-CN" w:bidi="zh-CN"/>
    </w:rPr>
  </w:style>
  <w:style w:type="paragraph" w:customStyle="1" w:styleId="20">
    <w:name w:val="正文2"/>
    <w:basedOn w:val="1"/>
    <w:qFormat/>
    <w:uiPriority w:val="0"/>
    <w:pPr>
      <w:spacing w:line="360" w:lineRule="atLeast"/>
      <w:ind w:firstLine="178" w:firstLineChars="85"/>
    </w:pPr>
    <w:rPr>
      <w:rFonts w:ascii="黑体" w:hAnsi="黑体" w:eastAsia="黑体"/>
    </w:rPr>
  </w:style>
  <w:style w:type="paragraph" w:customStyle="1" w:styleId="21">
    <w:name w:val="WPSOffice手动目录 1"/>
    <w:qFormat/>
    <w:uiPriority w:val="0"/>
    <w:pPr>
      <w:ind w:leftChars="0"/>
    </w:pPr>
    <w:rPr>
      <w:rFonts w:ascii="Calibri" w:hAnsi="Calibri" w:eastAsia="宋体" w:cs="Times New Roman"/>
      <w:sz w:val="20"/>
      <w:szCs w:val="20"/>
    </w:rPr>
  </w:style>
  <w:style w:type="paragraph" w:customStyle="1" w:styleId="22">
    <w:name w:val="WPSOffice手动目录 2"/>
    <w:qFormat/>
    <w:uiPriority w:val="0"/>
    <w:pPr>
      <w:ind w:leftChars="200"/>
    </w:pPr>
    <w:rPr>
      <w:rFonts w:ascii="Calibri" w:hAnsi="Calibri" w:eastAsia="宋体" w:cs="Times New Roman"/>
      <w:sz w:val="20"/>
      <w:szCs w:val="20"/>
    </w:rPr>
  </w:style>
  <w:style w:type="paragraph" w:customStyle="1" w:styleId="23">
    <w:name w:val="WPSOffice手动目录 3"/>
    <w:qFormat/>
    <w:uiPriority w:val="0"/>
    <w:pPr>
      <w:ind w:leftChars="400"/>
    </w:pPr>
    <w:rPr>
      <w:rFonts w:ascii="Calibri" w:hAnsi="Calibri"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1.jpe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6873</Words>
  <Characters>7196</Characters>
  <Lines>0</Lines>
  <Paragraphs>0</Paragraphs>
  <TotalTime>4</TotalTime>
  <ScaleCrop>false</ScaleCrop>
  <LinksUpToDate>false</LinksUpToDate>
  <CharactersWithSpaces>7258</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2022-04-08T05:38:00Z</dcterms:created>
  <dc:creator>张小光</dc:creator>
  <cp:lastModifiedBy>第三只眼</cp:lastModifiedBy>
  <cp:lastPrinted>2022-07-13T00:50:56Z</cp:lastPrinted>
  <dcterms:modified xsi:type="dcterms:W3CDTF">2022-07-22T06:02:00Z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6D974CCBF9DB412BB2B5418113D9B358</vt:lpwstr>
  </property>
  <property fmtid="{D5CDD505-2E9C-101B-9397-08002B2CF9AE}" pid="4" name="commondata">
    <vt:lpwstr>eyJoZGlkIjoiMGUzZjgxZjg5MGZlYjkxNzhmMzk1ZGNmYjZmYzM3ZGMifQ==</vt:lpwstr>
  </property>
</Properties>
</file>