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F64A" w14:textId="77777777" w:rsidR="00000000" w:rsidRDefault="00EA4525">
      <w:pPr>
        <w:spacing w:line="560" w:lineRule="exact"/>
        <w:jc w:val="center"/>
        <w:rPr>
          <w:rFonts w:ascii="方正小标宋简体" w:eastAsia="方正小标宋简体" w:hAnsi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/>
          <w:bCs/>
          <w:sz w:val="44"/>
          <w:szCs w:val="44"/>
        </w:rPr>
        <w:t>《</w:t>
      </w:r>
      <w:r>
        <w:rPr>
          <w:rFonts w:ascii="方正小标宋简体" w:eastAsia="方正小标宋简体" w:hAnsi="方正小标宋简体" w:hint="eastAsia"/>
          <w:bCs/>
          <w:sz w:val="44"/>
          <w:szCs w:val="44"/>
        </w:rPr>
        <w:t>深圳市商务局关于深圳“瞪羚品牌”</w:t>
      </w:r>
    </w:p>
    <w:p w14:paraId="468E4ECC" w14:textId="77777777" w:rsidR="00000000" w:rsidRDefault="00EA4525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认定办法（试行）（公开征求意见稿）</w:t>
      </w:r>
      <w:r>
        <w:rPr>
          <w:rFonts w:ascii="方正小标宋简体" w:eastAsia="方正小标宋简体" w:hAnsi="方正小标宋简体"/>
          <w:bCs/>
          <w:sz w:val="44"/>
          <w:szCs w:val="44"/>
        </w:rPr>
        <w:t>》</w:t>
      </w:r>
    </w:p>
    <w:p w14:paraId="5C71C0C0" w14:textId="77777777" w:rsidR="00000000" w:rsidRDefault="00EA4525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/>
          <w:bCs/>
          <w:sz w:val="44"/>
          <w:szCs w:val="44"/>
        </w:rPr>
        <w:t>起草说明</w:t>
      </w:r>
    </w:p>
    <w:p w14:paraId="12FC5B05" w14:textId="77777777" w:rsidR="00000000" w:rsidRDefault="00EA452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</w:p>
    <w:p w14:paraId="763C9D6A" w14:textId="77777777" w:rsidR="00000000" w:rsidRDefault="00EA452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为贯彻落实《深圳市关于加快建设国际消费中心城市的若干措施》（深商务规〔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2022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2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号）及相关实施细则要求，加快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推进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“品牌瞪羚计划”，扶持、培育一批深圳本土具备成长和发展潜力的消费品牌，进一步推动深圳国际消费中心城市建设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，市商务局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起草了《深圳市商务局关于深圳“瞪羚品牌”认定办法（试行）（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公开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征求意见稿）》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（以下简称《认定办法》）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。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现将有关事项说明如下：</w:t>
      </w:r>
    </w:p>
    <w:p w14:paraId="0E6FDA1B" w14:textId="77777777" w:rsidR="00000000" w:rsidRDefault="00EA4525">
      <w:pPr>
        <w:pStyle w:val="Style1"/>
        <w:spacing w:line="560" w:lineRule="exact"/>
        <w:ind w:firstLine="640"/>
        <w:rPr>
          <w:rFonts w:ascii="黑体" w:eastAsia="黑体" w:hAnsi="黑体" w:cs="黑体" w:hint="eastAsia"/>
          <w:color w:val="000000"/>
          <w:kern w:val="0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lang w:bidi="ar"/>
        </w:rPr>
        <w:t>一、起草背景</w:t>
      </w:r>
    </w:p>
    <w:p w14:paraId="740EF52E" w14:textId="77777777" w:rsidR="00000000" w:rsidRDefault="00EA4525">
      <w:pPr>
        <w:pStyle w:val="Style1"/>
        <w:spacing w:line="560" w:lineRule="exact"/>
        <w:ind w:firstLine="640"/>
        <w:rPr>
          <w:rFonts w:ascii="仿宋_GB2312" w:hAnsi="仿宋_GB2312" w:cs="仿宋_GB2312"/>
          <w:color w:val="000000"/>
          <w:kern w:val="0"/>
          <w:lang w:bidi="ar"/>
        </w:rPr>
      </w:pPr>
      <w:r>
        <w:rPr>
          <w:rFonts w:ascii="仿宋_GB2312" w:hAnsi="仿宋_GB2312" w:cs="仿宋_GB2312" w:hint="eastAsia"/>
        </w:rPr>
        <w:t>为贯彻落实中央、省关于坚持扩大内需加快形成强大国内市场</w:t>
      </w:r>
      <w:r>
        <w:rPr>
          <w:rFonts w:ascii="仿宋_GB2312" w:hAnsi="仿宋_GB2312" w:cs="仿宋_GB2312" w:hint="eastAsia"/>
        </w:rPr>
        <w:t>,</w:t>
      </w:r>
      <w:r>
        <w:rPr>
          <w:rFonts w:ascii="仿宋_GB2312" w:hAnsi="仿宋_GB2312" w:cs="仿宋_GB2312" w:hint="eastAsia"/>
        </w:rPr>
        <w:t>构建双循环新发展格局决策部署，</w:t>
      </w:r>
      <w:r>
        <w:rPr>
          <w:rFonts w:ascii="仿宋_GB2312" w:hAnsi="仿宋_GB2312" w:cs="仿宋_GB2312"/>
        </w:rPr>
        <w:t>紧抓</w:t>
      </w:r>
      <w:r>
        <w:rPr>
          <w:rFonts w:ascii="仿宋_GB2312" w:hAnsi="仿宋_GB2312" w:cs="仿宋_GB2312" w:hint="eastAsia"/>
        </w:rPr>
        <w:t>“双区”驱动、“双区”叠加和“双改”示范等重大历史机遇，围绕建设全球重要商贸中心战略定位，加快培育建设国际消费中心城市，推动商业和消费高质量发展</w:t>
      </w:r>
      <w:r>
        <w:rPr>
          <w:rFonts w:ascii="仿宋_GB2312" w:hAnsi="仿宋_GB2312" w:cs="仿宋_GB2312"/>
        </w:rPr>
        <w:t>，市商务局印发了</w:t>
      </w:r>
      <w:r>
        <w:rPr>
          <w:rFonts w:ascii="仿宋_GB2312" w:hAnsi="仿宋_GB2312" w:cs="仿宋_GB2312"/>
          <w:color w:val="000000"/>
          <w:kern w:val="0"/>
          <w:lang w:bidi="ar"/>
        </w:rPr>
        <w:t>《深圳市关于加快建设国际消费中心城市的若干措施》</w:t>
      </w:r>
      <w:r>
        <w:rPr>
          <w:rFonts w:ascii="仿宋_GB2312" w:hAnsi="仿宋_GB2312" w:cs="仿宋_GB2312"/>
          <w:color w:val="000000"/>
          <w:kern w:val="0"/>
          <w:lang w:bidi="ar"/>
        </w:rPr>
        <w:t>和《深圳市商务局</w:t>
      </w:r>
      <w:r>
        <w:rPr>
          <w:rFonts w:ascii="方正仿宋_GBK" w:eastAsia="方正仿宋_GBK" w:hAnsi="方正仿宋_GBK" w:cs="方正仿宋_GBK" w:hint="eastAsia"/>
          <w:color w:val="000000"/>
          <w:kern w:val="0"/>
          <w:lang w:bidi="ar"/>
        </w:rPr>
        <w:t>〈</w:t>
      </w:r>
      <w:r>
        <w:rPr>
          <w:rFonts w:ascii="仿宋_GB2312" w:hAnsi="仿宋_GB2312" w:cs="仿宋_GB2312"/>
          <w:color w:val="000000"/>
          <w:kern w:val="0"/>
          <w:lang w:bidi="ar"/>
        </w:rPr>
        <w:t>关于加快建设国际消费中心城市的若干措施</w:t>
      </w:r>
      <w:r>
        <w:rPr>
          <w:rFonts w:ascii="方正仿宋_GBK" w:eastAsia="方正仿宋_GBK" w:hAnsi="方正仿宋_GBK" w:cs="方正仿宋_GBK" w:hint="eastAsia"/>
          <w:color w:val="000000"/>
          <w:kern w:val="0"/>
          <w:lang w:bidi="ar"/>
        </w:rPr>
        <w:t>〉</w:t>
      </w:r>
      <w:r>
        <w:rPr>
          <w:rFonts w:ascii="仿宋_GB2312" w:hAnsi="仿宋_GB2312" w:cs="仿宋_GB2312"/>
          <w:color w:val="000000"/>
          <w:kern w:val="0"/>
          <w:lang w:bidi="ar"/>
        </w:rPr>
        <w:t>实施细则》，提出培育创新型领军商业企业，加快培育深圳本土品牌。实施</w:t>
      </w:r>
      <w:r>
        <w:rPr>
          <w:rFonts w:ascii="仿宋_GB2312" w:hAnsi="仿宋_GB2312" w:cs="仿宋_GB2312"/>
          <w:color w:val="000000"/>
          <w:kern w:val="0"/>
          <w:lang w:bidi="ar"/>
        </w:rPr>
        <w:t>“</w:t>
      </w:r>
      <w:r>
        <w:rPr>
          <w:rFonts w:ascii="仿宋_GB2312" w:hAnsi="仿宋_GB2312" w:cs="仿宋_GB2312"/>
          <w:color w:val="000000"/>
          <w:kern w:val="0"/>
          <w:lang w:bidi="ar"/>
        </w:rPr>
        <w:t>品牌瞪羚计划</w:t>
      </w:r>
      <w:r>
        <w:rPr>
          <w:rFonts w:ascii="仿宋_GB2312" w:hAnsi="仿宋_GB2312" w:cs="仿宋_GB2312"/>
          <w:color w:val="000000"/>
          <w:kern w:val="0"/>
          <w:lang w:bidi="ar"/>
        </w:rPr>
        <w:t>”</w:t>
      </w:r>
      <w:r>
        <w:rPr>
          <w:rFonts w:ascii="仿宋_GB2312" w:hAnsi="仿宋_GB2312" w:cs="仿宋_GB2312"/>
          <w:color w:val="000000"/>
          <w:kern w:val="0"/>
          <w:lang w:bidi="ar"/>
        </w:rPr>
        <w:t>，在消费电子、时尚服饰、黄金珠宝、钟表眼镜等细分领域培育一批知名品牌。据此，</w:t>
      </w:r>
      <w:r>
        <w:rPr>
          <w:rFonts w:ascii="仿宋_GB2312" w:hAnsi="仿宋_GB2312" w:cs="仿宋_GB2312"/>
          <w:color w:val="000000"/>
          <w:kern w:val="0"/>
          <w:lang w:bidi="ar"/>
        </w:rPr>
        <w:t>市商务局</w:t>
      </w:r>
      <w:r>
        <w:rPr>
          <w:rFonts w:ascii="仿宋_GB2312" w:hAnsi="仿宋_GB2312" w:cs="仿宋_GB2312" w:hint="eastAsia"/>
          <w:color w:val="000000"/>
          <w:kern w:val="0"/>
          <w:lang w:bidi="ar"/>
        </w:rPr>
        <w:t>起草了</w:t>
      </w:r>
      <w:r>
        <w:rPr>
          <w:rFonts w:ascii="仿宋_GB2312" w:hAnsi="仿宋_GB2312" w:cs="仿宋_GB2312"/>
          <w:color w:val="000000"/>
          <w:kern w:val="0"/>
          <w:lang w:bidi="ar"/>
        </w:rPr>
        <w:t>《认定办法》。</w:t>
      </w:r>
    </w:p>
    <w:p w14:paraId="7CE0C877" w14:textId="77777777" w:rsidR="00000000" w:rsidRDefault="00EA4525">
      <w:pPr>
        <w:pStyle w:val="Style1"/>
        <w:spacing w:line="560" w:lineRule="exact"/>
        <w:ind w:firstLine="640"/>
        <w:rPr>
          <w:rFonts w:ascii="黑体" w:eastAsia="黑体" w:hAnsi="黑体" w:cs="黑体" w:hint="eastAsia"/>
          <w:color w:val="000000"/>
          <w:kern w:val="0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lang w:bidi="ar"/>
        </w:rPr>
        <w:t>二、起草</w:t>
      </w:r>
      <w:r>
        <w:rPr>
          <w:rFonts w:ascii="黑体" w:eastAsia="黑体" w:hAnsi="黑体" w:cs="黑体"/>
          <w:color w:val="000000"/>
          <w:kern w:val="0"/>
          <w:lang w:bidi="ar"/>
        </w:rPr>
        <w:t>过程</w:t>
      </w:r>
    </w:p>
    <w:p w14:paraId="567766A7" w14:textId="77777777" w:rsidR="00000000" w:rsidRDefault="00EA4525">
      <w:pPr>
        <w:pStyle w:val="Style1"/>
        <w:spacing w:line="560" w:lineRule="exact"/>
        <w:ind w:firstLine="640"/>
        <w:rPr>
          <w:rFonts w:ascii="仿宋_GB2312" w:hAnsi="仿宋_GB2312" w:cs="仿宋_GB2312"/>
          <w:color w:val="000000"/>
          <w:kern w:val="0"/>
          <w:lang w:bidi="ar"/>
        </w:rPr>
      </w:pPr>
      <w:r>
        <w:rPr>
          <w:rFonts w:ascii="仿宋_GB2312" w:hAnsi="仿宋_GB2312" w:cs="仿宋_GB2312"/>
          <w:color w:val="000000"/>
          <w:kern w:val="0"/>
          <w:lang w:bidi="ar"/>
        </w:rPr>
        <w:lastRenderedPageBreak/>
        <w:t>自</w:t>
      </w:r>
      <w:r>
        <w:rPr>
          <w:rFonts w:ascii="仿宋_GB2312" w:hAnsi="仿宋_GB2312" w:cs="仿宋_GB2312"/>
          <w:color w:val="000000"/>
          <w:kern w:val="0"/>
          <w:lang w:bidi="ar"/>
        </w:rPr>
        <w:t>2022</w:t>
      </w:r>
      <w:r>
        <w:rPr>
          <w:rFonts w:ascii="仿宋_GB2312" w:hAnsi="仿宋_GB2312" w:cs="仿宋_GB2312"/>
          <w:color w:val="000000"/>
          <w:kern w:val="0"/>
          <w:lang w:bidi="ar"/>
        </w:rPr>
        <w:t>年</w:t>
      </w:r>
      <w:r>
        <w:rPr>
          <w:rFonts w:ascii="仿宋_GB2312" w:hAnsi="仿宋_GB2312" w:cs="仿宋_GB2312"/>
          <w:color w:val="000000"/>
          <w:kern w:val="0"/>
          <w:lang w:bidi="ar"/>
        </w:rPr>
        <w:t>3</w:t>
      </w:r>
      <w:r>
        <w:rPr>
          <w:rFonts w:ascii="仿宋_GB2312" w:hAnsi="仿宋_GB2312" w:cs="仿宋_GB2312"/>
          <w:color w:val="000000"/>
          <w:kern w:val="0"/>
          <w:lang w:bidi="ar"/>
        </w:rPr>
        <w:t>月起，市商务局开始着手起草《认定办法》，在深入调研我市本土企业、本土消费品品牌发展的基础上，广泛征求各区各部门、行业协会和企业意见建议，研究形成了本次征求意见稿。</w:t>
      </w:r>
    </w:p>
    <w:p w14:paraId="3DAA0463" w14:textId="77777777" w:rsidR="00000000" w:rsidRDefault="00EA4525">
      <w:pPr>
        <w:pStyle w:val="Style1"/>
        <w:spacing w:line="560" w:lineRule="exact"/>
        <w:ind w:firstLine="640"/>
        <w:rPr>
          <w:rFonts w:ascii="仿宋_GB2312" w:hAnsi="仿宋_GB2312" w:cs="仿宋_GB2312"/>
          <w:color w:val="000000"/>
          <w:kern w:val="0"/>
          <w:lang w:bidi="ar"/>
        </w:rPr>
      </w:pPr>
      <w:r>
        <w:rPr>
          <w:rFonts w:ascii="仿宋_GB2312" w:hAnsi="仿宋_GB2312" w:cs="仿宋_GB2312"/>
          <w:color w:val="000000"/>
          <w:kern w:val="0"/>
          <w:lang w:bidi="ar"/>
        </w:rPr>
        <w:t>“</w:t>
      </w:r>
      <w:r>
        <w:rPr>
          <w:rFonts w:ascii="仿宋_GB2312" w:hAnsi="仿宋_GB2312" w:cs="仿宋_GB2312"/>
          <w:color w:val="000000"/>
          <w:kern w:val="0"/>
          <w:lang w:bidi="ar"/>
        </w:rPr>
        <w:t>瞪羚品牌</w:t>
      </w:r>
      <w:r>
        <w:rPr>
          <w:rFonts w:ascii="仿宋_GB2312" w:hAnsi="仿宋_GB2312" w:cs="仿宋_GB2312"/>
          <w:color w:val="000000"/>
          <w:kern w:val="0"/>
          <w:lang w:bidi="ar"/>
        </w:rPr>
        <w:t>”</w:t>
      </w:r>
      <w:r>
        <w:rPr>
          <w:rFonts w:ascii="仿宋_GB2312" w:hAnsi="仿宋_GB2312" w:cs="仿宋_GB2312"/>
          <w:color w:val="000000"/>
          <w:kern w:val="0"/>
          <w:lang w:bidi="ar"/>
        </w:rPr>
        <w:t>及所属企业具有成长速度快、创新能力强、发展潜力大等显著特征。为</w:t>
      </w:r>
      <w:r>
        <w:rPr>
          <w:rFonts w:ascii="仿宋_GB2312" w:hAnsi="仿宋_GB2312" w:cs="仿宋_GB2312" w:hint="eastAsia"/>
        </w:rPr>
        <w:t>确立</w:t>
      </w:r>
      <w:r>
        <w:rPr>
          <w:rFonts w:ascii="仿宋_GB2312" w:hAnsi="仿宋_GB2312" w:cs="仿宋_GB2312"/>
          <w:color w:val="000000"/>
          <w:kern w:val="0"/>
          <w:lang w:bidi="ar"/>
        </w:rPr>
        <w:t>“</w:t>
      </w:r>
      <w:r>
        <w:rPr>
          <w:rFonts w:ascii="仿宋_GB2312" w:hAnsi="仿宋_GB2312" w:cs="仿宋_GB2312"/>
          <w:color w:val="000000"/>
          <w:kern w:val="0"/>
          <w:lang w:bidi="ar"/>
        </w:rPr>
        <w:t>瞪羚品牌</w:t>
      </w:r>
      <w:r>
        <w:rPr>
          <w:rFonts w:ascii="仿宋_GB2312" w:hAnsi="仿宋_GB2312" w:cs="仿宋_GB2312"/>
          <w:color w:val="000000"/>
          <w:kern w:val="0"/>
          <w:lang w:bidi="ar"/>
        </w:rPr>
        <w:t>”</w:t>
      </w:r>
      <w:r>
        <w:rPr>
          <w:rFonts w:ascii="仿宋_GB2312" w:hAnsi="仿宋_GB2312" w:cs="仿宋_GB2312"/>
          <w:color w:val="000000"/>
          <w:kern w:val="0"/>
          <w:lang w:bidi="ar"/>
        </w:rPr>
        <w:t>及所属企业申报</w:t>
      </w:r>
      <w:r>
        <w:rPr>
          <w:rFonts w:ascii="仿宋_GB2312" w:hAnsi="仿宋_GB2312" w:cs="仿宋_GB2312"/>
        </w:rPr>
        <w:t>条件</w:t>
      </w:r>
      <w:r>
        <w:rPr>
          <w:rFonts w:ascii="仿宋_GB2312" w:hAnsi="仿宋_GB2312" w:cs="仿宋_GB2312" w:hint="eastAsia"/>
        </w:rPr>
        <w:t>，</w:t>
      </w:r>
      <w:r>
        <w:rPr>
          <w:rFonts w:ascii="仿宋_GB2312" w:hAnsi="仿宋_GB2312" w:cs="仿宋_GB2312"/>
        </w:rPr>
        <w:t>综合考虑我市传统优势产业及新兴消费品品牌发展情况，市商务局</w:t>
      </w:r>
      <w:r>
        <w:rPr>
          <w:rFonts w:ascii="仿宋_GB2312" w:hAnsi="仿宋_GB2312" w:cs="仿宋_GB2312"/>
          <w:color w:val="000000"/>
          <w:kern w:val="0"/>
          <w:lang w:bidi="ar"/>
        </w:rPr>
        <w:t>聚焦</w:t>
      </w:r>
      <w:r>
        <w:rPr>
          <w:rFonts w:ascii="仿宋_GB2312" w:hAnsi="仿宋_GB2312" w:hint="eastAsia"/>
        </w:rPr>
        <w:t>消费电子、时尚服饰、黄金珠宝、钟表眼镜、国潮新品、美颜美妆、</w:t>
      </w:r>
      <w:r>
        <w:rPr>
          <w:rFonts w:ascii="仿宋_GB2312" w:hAnsi="仿宋_GB2312" w:hint="eastAsia"/>
        </w:rPr>
        <w:t>食品餐饮、家</w:t>
      </w:r>
      <w:r>
        <w:rPr>
          <w:rFonts w:ascii="仿宋_GB2312" w:hAnsi="仿宋_GB2312" w:hint="eastAsia"/>
        </w:rPr>
        <w:t>装家居、工艺美术、音像器材、汽车汽配、文化创意、体育旅游等</w:t>
      </w:r>
      <w:r>
        <w:rPr>
          <w:rFonts w:ascii="仿宋_GB2312" w:hAnsi="仿宋_GB2312"/>
        </w:rPr>
        <w:t>重点</w:t>
      </w:r>
      <w:r>
        <w:rPr>
          <w:rFonts w:ascii="仿宋_GB2312" w:hAnsi="仿宋_GB2312" w:hint="eastAsia"/>
        </w:rPr>
        <w:t>领域</w:t>
      </w:r>
      <w:r>
        <w:rPr>
          <w:rFonts w:ascii="仿宋_GB2312" w:hAnsi="仿宋_GB2312"/>
        </w:rPr>
        <w:t>，调研企业经营收入和品牌培育情况，</w:t>
      </w:r>
      <w:r>
        <w:rPr>
          <w:rFonts w:ascii="仿宋_GB2312" w:hAnsi="仿宋_GB2312"/>
        </w:rPr>
        <w:t>从品牌建设、品质管理、渠道建设、市场营销、经营效益等</w:t>
      </w:r>
      <w:r>
        <w:rPr>
          <w:rFonts w:ascii="仿宋_GB2312" w:hAnsi="仿宋_GB2312"/>
        </w:rPr>
        <w:t>5</w:t>
      </w:r>
      <w:r>
        <w:rPr>
          <w:rFonts w:ascii="仿宋_GB2312" w:hAnsi="仿宋_GB2312"/>
        </w:rPr>
        <w:t>方面进行综合评估，充分挖掘潜力品牌，扩大品牌影响力，</w:t>
      </w:r>
      <w:r>
        <w:rPr>
          <w:rFonts w:ascii="仿宋_GB2312" w:hAnsi="仿宋_GB2312" w:cs="仿宋_GB2312" w:hint="eastAsia"/>
        </w:rPr>
        <w:t>激励</w:t>
      </w:r>
      <w:r>
        <w:rPr>
          <w:rFonts w:ascii="仿宋_GB2312" w:hAnsi="仿宋_GB2312" w:cs="仿宋_GB2312"/>
        </w:rPr>
        <w:t>本土品牌做大做强</w:t>
      </w:r>
      <w:r>
        <w:rPr>
          <w:rFonts w:ascii="仿宋_GB2312" w:hAnsi="仿宋_GB2312" w:cs="仿宋_GB2312"/>
          <w:color w:val="000000"/>
          <w:kern w:val="0"/>
          <w:lang w:bidi="ar"/>
        </w:rPr>
        <w:t>。</w:t>
      </w:r>
    </w:p>
    <w:p w14:paraId="3E771D23" w14:textId="77777777" w:rsidR="00000000" w:rsidRDefault="00EA4525">
      <w:pPr>
        <w:pStyle w:val="Style1"/>
        <w:spacing w:line="560" w:lineRule="exact"/>
        <w:ind w:firstLine="640"/>
        <w:rPr>
          <w:rFonts w:ascii="黑体" w:eastAsia="黑体" w:hAnsi="黑体" w:cs="黑体" w:hint="eastAsia"/>
          <w:color w:val="000000"/>
          <w:kern w:val="0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lang w:bidi="ar"/>
        </w:rPr>
        <w:t>三、主要内容</w:t>
      </w:r>
    </w:p>
    <w:p w14:paraId="7AA59304" w14:textId="77777777" w:rsidR="00000000" w:rsidRDefault="00EA452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全文共</w:t>
      </w:r>
      <w:r>
        <w:rPr>
          <w:rFonts w:ascii="仿宋_GB2312" w:eastAsia="仿宋_GB2312" w:hAnsi="仿宋_GB2312" w:cs="仿宋_GB2312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</w:t>
      </w:r>
      <w:r>
        <w:rPr>
          <w:rFonts w:ascii="仿宋_GB2312" w:eastAsia="仿宋_GB2312" w:hAnsi="仿宋_GB2312" w:cs="仿宋_GB2312"/>
          <w:sz w:val="32"/>
          <w:szCs w:val="32"/>
        </w:rPr>
        <w:t>，共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条，主要内容如下：</w:t>
      </w:r>
    </w:p>
    <w:p w14:paraId="3D05EF59" w14:textId="77777777" w:rsidR="00000000" w:rsidRDefault="00EA452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第一部分包括第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条，主要为</w:t>
      </w:r>
      <w:r>
        <w:rPr>
          <w:rFonts w:ascii="仿宋_GB2312" w:eastAsia="仿宋_GB2312" w:hAnsi="仿宋_GB2312" w:cs="仿宋_GB2312"/>
          <w:sz w:val="32"/>
          <w:szCs w:val="32"/>
        </w:rPr>
        <w:t>《认定办法》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编制目的、原则，“瞪羚品牌企业”释义，及有关单位的支持配合要求。</w:t>
      </w:r>
    </w:p>
    <w:p w14:paraId="27BBFC94" w14:textId="77777777" w:rsidR="00000000" w:rsidRDefault="00EA452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第二部分包括第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条，主要为</w:t>
      </w:r>
      <w:r>
        <w:rPr>
          <w:rFonts w:ascii="仿宋_GB2312" w:eastAsia="仿宋_GB2312" w:hAnsi="仿宋_GB2312" w:hint="eastAsia"/>
          <w:sz w:val="32"/>
          <w:szCs w:val="32"/>
        </w:rPr>
        <w:t>“瞪羚品牌”</w:t>
      </w:r>
      <w:r>
        <w:rPr>
          <w:rFonts w:ascii="仿宋_GB2312" w:eastAsia="仿宋_GB2312" w:hAnsi="仿宋_GB2312"/>
          <w:sz w:val="32"/>
          <w:szCs w:val="32"/>
        </w:rPr>
        <w:t>所属</w:t>
      </w:r>
      <w:r>
        <w:rPr>
          <w:rFonts w:ascii="仿宋_GB2312" w:eastAsia="仿宋_GB2312" w:hAnsi="仿宋_GB2312" w:hint="eastAsia"/>
          <w:sz w:val="32"/>
          <w:szCs w:val="32"/>
        </w:rPr>
        <w:t>企业</w:t>
      </w:r>
      <w:r>
        <w:rPr>
          <w:rFonts w:ascii="仿宋_GB2312" w:eastAsia="仿宋_GB2312" w:hAnsi="仿宋_GB2312"/>
          <w:sz w:val="32"/>
          <w:szCs w:val="32"/>
        </w:rPr>
        <w:t>条件、</w:t>
      </w:r>
      <w:r>
        <w:rPr>
          <w:rFonts w:ascii="仿宋_GB2312" w:eastAsia="仿宋_GB2312" w:hAnsi="仿宋_GB2312" w:hint="eastAsia"/>
          <w:sz w:val="32"/>
          <w:szCs w:val="32"/>
        </w:rPr>
        <w:t>“瞪羚品牌”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申报条件、材料和程序。</w:t>
      </w:r>
    </w:p>
    <w:p w14:paraId="71D58C09" w14:textId="77777777" w:rsidR="00000000" w:rsidRDefault="00EA452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第三部分包括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条，主要为</w:t>
      </w:r>
      <w:r>
        <w:rPr>
          <w:rFonts w:ascii="仿宋_GB2312" w:eastAsia="仿宋_GB2312" w:hAnsi="仿宋_GB2312" w:hint="eastAsia"/>
          <w:sz w:val="32"/>
          <w:szCs w:val="32"/>
        </w:rPr>
        <w:t>“瞪羚品牌”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支持政策。</w:t>
      </w:r>
    </w:p>
    <w:p w14:paraId="286A200B" w14:textId="77777777" w:rsidR="00000000" w:rsidRDefault="00EA452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第四部分包括第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条，主要为对</w:t>
      </w:r>
      <w:r>
        <w:rPr>
          <w:rFonts w:ascii="仿宋_GB2312" w:eastAsia="仿宋_GB2312" w:hAnsi="仿宋_GB2312" w:hint="eastAsia"/>
          <w:sz w:val="32"/>
          <w:szCs w:val="32"/>
        </w:rPr>
        <w:t>“瞪羚品牌”</w:t>
      </w:r>
      <w:r>
        <w:rPr>
          <w:rFonts w:ascii="仿宋_GB2312" w:eastAsia="仿宋_GB2312" w:hAnsi="仿宋_GB2312"/>
          <w:sz w:val="32"/>
          <w:szCs w:val="32"/>
        </w:rPr>
        <w:t>所属企业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统计、变更、注</w:t>
      </w:r>
      <w:r>
        <w:rPr>
          <w:rFonts w:ascii="仿宋_GB2312" w:eastAsia="仿宋_GB2312" w:hAnsi="仿宋_GB2312" w:cs="仿宋_GB2312" w:hint="eastAsia"/>
          <w:sz w:val="32"/>
          <w:szCs w:val="32"/>
        </w:rPr>
        <w:t>销等管理要求。</w:t>
      </w:r>
    </w:p>
    <w:p w14:paraId="0A5C19B2" w14:textId="77777777" w:rsidR="00000000" w:rsidRDefault="00EA452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第五部分</w:t>
      </w:r>
      <w:r>
        <w:rPr>
          <w:rFonts w:ascii="仿宋_GB2312" w:eastAsia="仿宋_GB2312" w:hAnsi="仿宋_GB2312" w:cs="仿宋_GB2312"/>
          <w:sz w:val="32"/>
          <w:szCs w:val="32"/>
        </w:rPr>
        <w:t>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第</w:t>
      </w:r>
      <w:r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条，为文件</w:t>
      </w:r>
      <w:r>
        <w:rPr>
          <w:rFonts w:ascii="仿宋_GB2312" w:eastAsia="仿宋_GB2312" w:hAnsi="仿宋_GB2312" w:cs="仿宋_GB2312"/>
          <w:sz w:val="32"/>
          <w:szCs w:val="32"/>
        </w:rPr>
        <w:t>解释单位和</w:t>
      </w:r>
      <w:r>
        <w:rPr>
          <w:rFonts w:ascii="仿宋_GB2312" w:eastAsia="仿宋_GB2312" w:hAnsi="仿宋_GB2312" w:cs="仿宋_GB2312" w:hint="eastAsia"/>
          <w:sz w:val="32"/>
          <w:szCs w:val="32"/>
        </w:rPr>
        <w:t>有效期。</w:t>
      </w:r>
    </w:p>
    <w:p w14:paraId="0A527106" w14:textId="77777777" w:rsidR="00000000" w:rsidRDefault="00EA452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第六部分包括附件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，为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瞪羚品牌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自评表和申报表》。</w:t>
      </w:r>
    </w:p>
    <w:p w14:paraId="17C69EDE" w14:textId="77777777" w:rsidR="00000000" w:rsidRDefault="00EA4525">
      <w:pPr>
        <w:pStyle w:val="Style1"/>
        <w:spacing w:line="560" w:lineRule="exact"/>
        <w:ind w:firstLineChars="0" w:firstLine="0"/>
        <w:rPr>
          <w:rFonts w:ascii="仿宋_GB2312" w:hAnsi="仿宋_GB2312" w:cs="仿宋_GB2312"/>
          <w:color w:val="000000"/>
          <w:kern w:val="0"/>
          <w:lang w:bidi="ar"/>
        </w:rPr>
      </w:pPr>
    </w:p>
    <w:sectPr w:rsidR="0000000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BE96" w14:textId="77777777" w:rsidR="00000000" w:rsidRDefault="00EA4525">
      <w:r>
        <w:separator/>
      </w:r>
    </w:p>
  </w:endnote>
  <w:endnote w:type="continuationSeparator" w:id="0">
    <w:p w14:paraId="6141F91B" w14:textId="77777777" w:rsidR="00000000" w:rsidRDefault="00EA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F51B" w14:textId="663F612F" w:rsidR="00000000" w:rsidRDefault="00EA452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75D9A8" wp14:editId="02B7F50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BD6EE" w14:textId="77777777" w:rsidR="00000000" w:rsidRDefault="00EA4525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5D9A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" filled="f" stroked="f">
              <v:textbox style="mso-fit-shape-to-text:t" inset="0,0,0,0">
                <w:txbxContent>
                  <w:p w14:paraId="0E2BD6EE" w14:textId="77777777" w:rsidR="00000000" w:rsidRDefault="00EA4525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6A26" w14:textId="77777777" w:rsidR="00000000" w:rsidRDefault="00EA4525">
      <w:r>
        <w:separator/>
      </w:r>
    </w:p>
  </w:footnote>
  <w:footnote w:type="continuationSeparator" w:id="0">
    <w:p w14:paraId="2E38777B" w14:textId="77777777" w:rsidR="00000000" w:rsidRDefault="00EA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F71AA9"/>
    <w:rsid w:val="3BFDAEA6"/>
    <w:rsid w:val="4CEF64CE"/>
    <w:rsid w:val="6FBF4166"/>
    <w:rsid w:val="78F71AA9"/>
    <w:rsid w:val="7A7CDF38"/>
    <w:rsid w:val="7DFDB74F"/>
    <w:rsid w:val="7E71FDE6"/>
    <w:rsid w:val="9FFFD42F"/>
    <w:rsid w:val="BB770444"/>
    <w:rsid w:val="BEFD695F"/>
    <w:rsid w:val="BF608F5E"/>
    <w:rsid w:val="C9EF37A8"/>
    <w:rsid w:val="DD534FD5"/>
    <w:rsid w:val="E5EF5D27"/>
    <w:rsid w:val="EF6BDFC1"/>
    <w:rsid w:val="F58E3BE2"/>
    <w:rsid w:val="F7FD22FE"/>
    <w:rsid w:val="F967AF77"/>
    <w:rsid w:val="FAEB2970"/>
    <w:rsid w:val="FB7F6CA9"/>
    <w:rsid w:val="FCFF2C19"/>
    <w:rsid w:val="FFF925D7"/>
    <w:rsid w:val="00EA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5820266"/>
  <w15:chartTrackingRefBased/>
  <w15:docId w15:val="{CC29349E-CC54-4890-A25F-CB60D1BB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Style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qFormat/>
    <w:pPr>
      <w:ind w:firstLineChars="200" w:firstLine="200"/>
    </w:pPr>
    <w:rPr>
      <w:rFonts w:ascii="宋体" w:eastAsia="仿宋_GB2312" w:hAnsi="宋体"/>
      <w:sz w:val="32"/>
      <w:szCs w:val="32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paragraph" w:styleId="a6">
    <w:name w:val="Revision"/>
    <w:hidden/>
    <w:uiPriority w:val="99"/>
    <w:unhideWhenUsed/>
    <w:rsid w:val="00EA4525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何锋</dc:creator>
  <cp:keywords/>
  <cp:lastModifiedBy>陈 梓标</cp:lastModifiedBy>
  <cp:revision>2</cp:revision>
  <dcterms:created xsi:type="dcterms:W3CDTF">2022-08-02T08:39:00Z</dcterms:created>
  <dcterms:modified xsi:type="dcterms:W3CDTF">2022-08-02T08:39:00Z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