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ind w:firstLine="640" w:firstLineChars="200"/>
        <w:jc w:val="right"/>
        <w:textAlignment w:val="auto"/>
        <w:rPr>
          <w:rFonts w:hint="eastAsia" w:ascii="仿宋_GB2312" w:eastAsia="仿宋_GB2312"/>
          <w:color w:val="auto"/>
          <w:sz w:val="32"/>
          <w:u w:val="none"/>
          <w:lang w:val="en-US" w:eastAsia="zh-CN"/>
        </w:rPr>
      </w:pPr>
      <w:bookmarkStart w:id="0" w:name="_GoBack"/>
      <w:bookmarkEnd w:id="0"/>
    </w:p>
    <w:p>
      <w:pPr>
        <w:widowControl/>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附件</w:t>
      </w:r>
    </w:p>
    <w:p>
      <w:pPr>
        <w:widowControl/>
        <w:spacing w:line="520" w:lineRule="exact"/>
        <w:jc w:val="left"/>
        <w:rPr>
          <w:rFonts w:hint="eastAsia" w:ascii="仿宋_GB2312" w:hAnsi="仿宋" w:eastAsia="仿宋_GB2312"/>
          <w:sz w:val="32"/>
          <w:szCs w:val="32"/>
        </w:rPr>
      </w:pPr>
    </w:p>
    <w:p>
      <w:pPr>
        <w:widowControl/>
        <w:spacing w:line="520" w:lineRule="exact"/>
        <w:jc w:val="center"/>
        <w:rPr>
          <w:rStyle w:val="4"/>
          <w:rFonts w:ascii="黑体" w:hAnsi="黑体" w:eastAsia="黑体" w:cs="黑体"/>
          <w:b w:val="0"/>
          <w:kern w:val="0"/>
          <w:sz w:val="44"/>
          <w:szCs w:val="44"/>
        </w:rPr>
      </w:pPr>
      <w:r>
        <w:rPr>
          <w:rStyle w:val="4"/>
          <w:rFonts w:hint="eastAsia" w:ascii="黑体" w:hAnsi="黑体" w:eastAsia="黑体" w:cs="黑体"/>
          <w:kern w:val="0"/>
          <w:sz w:val="44"/>
          <w:szCs w:val="44"/>
        </w:rPr>
        <w:t>国家税务总局杭州市税务局</w:t>
      </w:r>
    </w:p>
    <w:p>
      <w:pPr>
        <w:widowControl/>
        <w:spacing w:line="520" w:lineRule="exact"/>
        <w:jc w:val="center"/>
        <w:rPr>
          <w:rStyle w:val="4"/>
          <w:rFonts w:ascii="黑体" w:hAnsi="黑体" w:eastAsia="黑体" w:cs="黑体"/>
          <w:b w:val="0"/>
          <w:kern w:val="0"/>
          <w:sz w:val="44"/>
          <w:szCs w:val="44"/>
        </w:rPr>
      </w:pPr>
      <w:r>
        <w:rPr>
          <w:rStyle w:val="4"/>
          <w:rFonts w:hint="eastAsia" w:ascii="黑体" w:hAnsi="黑体" w:eastAsia="黑体" w:cs="黑体"/>
          <w:kern w:val="0"/>
          <w:sz w:val="44"/>
          <w:szCs w:val="44"/>
        </w:rPr>
        <w:t>关于房地产企业销售未完工产品</w:t>
      </w:r>
    </w:p>
    <w:p>
      <w:pPr>
        <w:widowControl/>
        <w:spacing w:line="520" w:lineRule="exact"/>
        <w:jc w:val="center"/>
        <w:rPr>
          <w:rStyle w:val="4"/>
          <w:rFonts w:ascii="黑体" w:hAnsi="黑体" w:eastAsia="黑体" w:cs="黑体"/>
          <w:b w:val="0"/>
          <w:kern w:val="0"/>
          <w:sz w:val="44"/>
          <w:szCs w:val="44"/>
        </w:rPr>
      </w:pPr>
      <w:r>
        <w:rPr>
          <w:rStyle w:val="4"/>
          <w:rFonts w:hint="eastAsia" w:ascii="黑体" w:hAnsi="黑体" w:eastAsia="黑体" w:cs="黑体"/>
          <w:kern w:val="0"/>
          <w:sz w:val="44"/>
          <w:szCs w:val="44"/>
        </w:rPr>
        <w:t>计税毛利率有关问题的公告</w:t>
      </w:r>
    </w:p>
    <w:p>
      <w:pPr>
        <w:widowControl/>
        <w:spacing w:line="520" w:lineRule="exact"/>
        <w:jc w:val="center"/>
        <w:rPr>
          <w:rFonts w:ascii="仿宋" w:hAnsi="仿宋" w:eastAsia="仿宋" w:cs="仿宋_GB2312"/>
          <w:bCs/>
          <w:kern w:val="0"/>
          <w:sz w:val="30"/>
          <w:szCs w:val="30"/>
        </w:rPr>
      </w:pPr>
      <w:r>
        <w:rPr>
          <w:rStyle w:val="4"/>
          <w:rFonts w:hint="eastAsia" w:ascii="仿宋" w:hAnsi="仿宋" w:eastAsia="仿宋" w:cs="仿宋_GB2312"/>
          <w:bCs/>
          <w:kern w:val="0"/>
          <w:sz w:val="30"/>
          <w:szCs w:val="30"/>
        </w:rPr>
        <w:t>（征求意见稿）</w:t>
      </w:r>
    </w:p>
    <w:p>
      <w:pPr>
        <w:widowControl/>
        <w:spacing w:line="520" w:lineRule="exact"/>
        <w:rPr>
          <w:rFonts w:ascii="仿宋" w:hAnsi="仿宋" w:eastAsia="仿宋" w:cs="宋体"/>
          <w:kern w:val="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根据《</w:t>
      </w:r>
      <w:r>
        <w:rPr>
          <w:rFonts w:hint="eastAsia" w:ascii="仿宋_GB2312" w:eastAsia="仿宋_GB2312"/>
          <w:sz w:val="32"/>
          <w:lang w:val="en-US" w:eastAsia="zh-CN"/>
        </w:rPr>
        <w:fldChar w:fldCharType="begin"/>
      </w:r>
      <w:r>
        <w:rPr>
          <w:rFonts w:hint="eastAsia" w:ascii="仿宋_GB2312" w:eastAsia="仿宋_GB2312"/>
          <w:sz w:val="32"/>
          <w:lang w:val="en-US" w:eastAsia="zh-CN"/>
        </w:rPr>
        <w:instrText xml:space="preserve"> HYPERLINK "http://80.16.16.114/Fgk/FaGui.ashx?id=eafad90b-5ffe-4df5-af27-f0da71abafc9" \t "http://80.16.16.114/Fgk/_BLANK" </w:instrText>
      </w:r>
      <w:r>
        <w:rPr>
          <w:rFonts w:hint="eastAsia" w:ascii="仿宋_GB2312" w:eastAsia="仿宋_GB2312"/>
          <w:sz w:val="32"/>
          <w:lang w:val="en-US" w:eastAsia="zh-CN"/>
        </w:rPr>
        <w:fldChar w:fldCharType="separate"/>
      </w:r>
      <w:r>
        <w:rPr>
          <w:rFonts w:hint="eastAsia" w:ascii="仿宋_GB2312" w:eastAsia="仿宋_GB2312"/>
          <w:sz w:val="32"/>
          <w:lang w:val="en-US" w:eastAsia="zh-CN"/>
        </w:rPr>
        <w:t>中华人民共和国企业所得税法</w:t>
      </w:r>
      <w:r>
        <w:rPr>
          <w:rFonts w:hint="eastAsia" w:ascii="仿宋_GB2312" w:eastAsia="仿宋_GB2312"/>
          <w:sz w:val="32"/>
          <w:lang w:val="en-US" w:eastAsia="zh-CN"/>
        </w:rPr>
        <w:fldChar w:fldCharType="end"/>
      </w:r>
      <w:r>
        <w:rPr>
          <w:rFonts w:hint="eastAsia" w:ascii="仿宋_GB2312" w:eastAsia="仿宋_GB2312"/>
          <w:sz w:val="32"/>
          <w:lang w:val="en-US" w:eastAsia="zh-CN"/>
        </w:rPr>
        <w:t>》及其</w:t>
      </w:r>
      <w:r>
        <w:rPr>
          <w:rFonts w:hint="eastAsia" w:ascii="仿宋_GB2312" w:eastAsia="仿宋_GB2312"/>
          <w:sz w:val="32"/>
          <w:lang w:val="en-US" w:eastAsia="zh-CN"/>
        </w:rPr>
        <w:fldChar w:fldCharType="begin"/>
      </w:r>
      <w:r>
        <w:rPr>
          <w:rFonts w:hint="eastAsia" w:ascii="仿宋_GB2312" w:eastAsia="仿宋_GB2312"/>
          <w:sz w:val="32"/>
          <w:lang w:val="en-US" w:eastAsia="zh-CN"/>
        </w:rPr>
        <w:instrText xml:space="preserve"> HYPERLINK "http://80.16.16.114/Fgk/FaGui.ashx?id=dc58a7da-809e-4833-8187-0e8bd667fb64" \t "http://80.16.16.114/Fgk/_BLANK" </w:instrText>
      </w:r>
      <w:r>
        <w:rPr>
          <w:rFonts w:hint="eastAsia" w:ascii="仿宋_GB2312" w:eastAsia="仿宋_GB2312"/>
          <w:sz w:val="32"/>
          <w:lang w:val="en-US" w:eastAsia="zh-CN"/>
        </w:rPr>
        <w:fldChar w:fldCharType="separate"/>
      </w:r>
      <w:r>
        <w:rPr>
          <w:rFonts w:hint="eastAsia" w:ascii="仿宋_GB2312" w:eastAsia="仿宋_GB2312"/>
          <w:sz w:val="32"/>
          <w:lang w:val="en-US" w:eastAsia="zh-CN"/>
        </w:rPr>
        <w:t>实施条例</w:t>
      </w:r>
      <w:r>
        <w:rPr>
          <w:rFonts w:hint="eastAsia" w:ascii="仿宋_GB2312" w:eastAsia="仿宋_GB2312"/>
          <w:sz w:val="32"/>
          <w:lang w:val="en-US" w:eastAsia="zh-CN"/>
        </w:rPr>
        <w:fldChar w:fldCharType="end"/>
      </w:r>
      <w:r>
        <w:rPr>
          <w:rFonts w:hint="eastAsia" w:ascii="仿宋_GB2312" w:eastAsia="仿宋_GB2312"/>
          <w:sz w:val="32"/>
          <w:lang w:val="en-US" w:eastAsia="zh-CN"/>
        </w:rPr>
        <w:t>、《</w:t>
      </w:r>
      <w:r>
        <w:rPr>
          <w:rFonts w:hint="eastAsia" w:ascii="仿宋_GB2312" w:eastAsia="仿宋_GB2312"/>
          <w:sz w:val="32"/>
          <w:lang w:val="en-US" w:eastAsia="zh-CN"/>
        </w:rPr>
        <w:fldChar w:fldCharType="begin"/>
      </w:r>
      <w:r>
        <w:rPr>
          <w:rFonts w:hint="eastAsia" w:ascii="仿宋_GB2312" w:eastAsia="仿宋_GB2312"/>
          <w:sz w:val="32"/>
          <w:lang w:val="en-US" w:eastAsia="zh-CN"/>
        </w:rPr>
        <w:instrText xml:space="preserve"> HYPERLINK "http://80.16.16.114/Fgk/FaGui.ashx?id=0ada76bf-2b96-4191-9df1-0271c63b80db" </w:instrText>
      </w:r>
      <w:r>
        <w:rPr>
          <w:rFonts w:hint="eastAsia" w:ascii="仿宋_GB2312" w:eastAsia="仿宋_GB2312"/>
          <w:sz w:val="32"/>
          <w:lang w:val="en-US" w:eastAsia="zh-CN"/>
        </w:rPr>
        <w:fldChar w:fldCharType="separate"/>
      </w:r>
      <w:r>
        <w:rPr>
          <w:rFonts w:hint="eastAsia" w:ascii="仿宋_GB2312" w:eastAsia="仿宋_GB2312"/>
          <w:sz w:val="32"/>
          <w:lang w:val="en-US" w:eastAsia="zh-CN"/>
        </w:rPr>
        <w:t>国家税务总局关于印发&lt;房地产开发经营业务企业所得税处理办法&gt;的通知</w:t>
      </w:r>
      <w:r>
        <w:rPr>
          <w:rFonts w:hint="eastAsia" w:ascii="仿宋_GB2312" w:eastAsia="仿宋_GB2312"/>
          <w:sz w:val="32"/>
          <w:lang w:val="en-US" w:eastAsia="zh-CN"/>
        </w:rPr>
        <w:fldChar w:fldCharType="end"/>
      </w:r>
      <w:r>
        <w:rPr>
          <w:rFonts w:hint="eastAsia" w:ascii="仿宋_GB2312" w:eastAsia="仿宋_GB2312"/>
          <w:sz w:val="32"/>
          <w:lang w:val="en-US" w:eastAsia="zh-CN"/>
        </w:rPr>
        <w:t>》（国税发〔2009〕31号）、《国家税务总局浙江省税务局关于房地产企业销售未完工产品计税毛利率有关问题的公告》（国家税务总局浙江省税务局公告2018年第10号）规定，房地产开发经营企业销售未完工开发产品取得的收入，应先按预计计税毛利率分季（或月）计算出预计毛利额，计入当期应纳税所得额。现就全市房地产开发经营企业销售未完工开发产品的计税毛利率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一、开发项目位于杭州市城区和郊区的，计税毛利率为15%。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二、开发项目位于杭州市其他地区的，计税毛利率为5%。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三、属于经济适用房、限价房和危改房的，计税毛利率为3%。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本公告自2022年1月1日起实施。本公告发布前，本年度已按原计税毛利率计算预计毛利额造成多预缴税款的，在本公告发布后的季度企业所得税预缴申报时抵减，抵减不完的，在本年度企业所得税汇算清缴时退税。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特此公告。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eastAsia="仿宋_GB2312"/>
          <w:sz w:val="32"/>
          <w:lang w:val="en-US" w:eastAsia="zh-CN"/>
        </w:rPr>
      </w:pPr>
      <w:r>
        <w:rPr>
          <w:rFonts w:hint="eastAsia" w:ascii="仿宋_GB2312" w:eastAsia="仿宋_GB2312"/>
          <w:sz w:val="32"/>
          <w:lang w:val="en-US" w:eastAsia="zh-CN"/>
        </w:rPr>
        <w:t>　　　　　　　　　   国家税务总局杭州市税务局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                        2022年8月31日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580EF1"/>
    <w:rsid w:val="0453689B"/>
    <w:rsid w:val="119A3ECF"/>
    <w:rsid w:val="142A62AE"/>
    <w:rsid w:val="19D01572"/>
    <w:rsid w:val="36B9122D"/>
    <w:rsid w:val="58580EF1"/>
    <w:rsid w:val="63EC1EE0"/>
    <w:rsid w:val="65687ACD"/>
    <w:rsid w:val="75410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qFormat/>
    <w:uiPriority w:val="22"/>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2022-08-29T06:56:00Z</dcterms:created>
  <dc:creator>钱佳莹</dc:creator>
  <cp:lastModifiedBy>姜楠</cp:lastModifiedBy>
  <cp:lastPrinted>2022-08-29T10:03:00Z</cp:lastPrinted>
  <dcterms:modified xsi:type="dcterms:W3CDTF">2022-08-30T02:36:42Z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