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FE1" w:rsidRDefault="00E60FE1" w:rsidP="00E60FE1">
      <w:pPr>
        <w:suppressAutoHyphens/>
        <w:rPr>
          <w:rFonts w:ascii="仿宋" w:eastAsia="仿宋" w:hAnsi="仿宋"/>
          <w:color w:val="000000"/>
          <w:spacing w:val="0"/>
          <w:szCs w:val="32"/>
        </w:rPr>
      </w:pPr>
      <w:r>
        <w:rPr>
          <w:rFonts w:ascii="方正黑体_GBK" w:eastAsia="方正黑体_GBK" w:hAnsi="方正黑体_GBK" w:cs="方正黑体_GBK" w:hint="eastAsia"/>
          <w:color w:val="000000"/>
          <w:spacing w:val="0"/>
          <w:szCs w:val="32"/>
        </w:rPr>
        <w:t>附件5</w:t>
      </w:r>
    </w:p>
    <w:p w:rsidR="00E60FE1" w:rsidRDefault="00E60FE1" w:rsidP="00E60FE1">
      <w:pPr>
        <w:suppressAutoHyphens/>
        <w:spacing w:line="600" w:lineRule="exact"/>
        <w:jc w:val="center"/>
        <w:rPr>
          <w:rFonts w:ascii="宋体" w:eastAsia="宋体" w:hAnsi="宋体" w:hint="eastAsia"/>
          <w:b/>
          <w:bCs/>
          <w:color w:val="000000"/>
          <w:spacing w:val="0"/>
          <w:sz w:val="44"/>
          <w:szCs w:val="44"/>
        </w:rPr>
      </w:pPr>
    </w:p>
    <w:p w:rsidR="00E60FE1" w:rsidRDefault="00E60FE1" w:rsidP="00E60FE1">
      <w:pPr>
        <w:suppressAutoHyphens/>
        <w:spacing w:line="600" w:lineRule="exact"/>
        <w:jc w:val="center"/>
        <w:rPr>
          <w:rFonts w:ascii="宋体" w:eastAsia="宋体" w:hAnsi="宋体"/>
          <w:b/>
          <w:bCs/>
          <w:color w:val="000000"/>
          <w:spacing w:val="0"/>
          <w:sz w:val="44"/>
          <w:szCs w:val="44"/>
        </w:rPr>
      </w:pPr>
      <w:r>
        <w:rPr>
          <w:rFonts w:ascii="宋体" w:eastAsia="宋体" w:hAnsi="宋体" w:hint="eastAsia"/>
          <w:b/>
          <w:bCs/>
          <w:color w:val="000000"/>
          <w:spacing w:val="0"/>
          <w:sz w:val="44"/>
          <w:szCs w:val="44"/>
        </w:rPr>
        <w:t>部分指标和要求说明</w:t>
      </w:r>
    </w:p>
    <w:p w:rsidR="00E60FE1" w:rsidRDefault="00E60FE1" w:rsidP="00E60FE1">
      <w:pPr>
        <w:suppressAutoHyphens/>
        <w:spacing w:line="600" w:lineRule="exact"/>
        <w:rPr>
          <w:rFonts w:ascii="宋体" w:eastAsia="宋体" w:hAnsi="宋体"/>
          <w:b/>
          <w:bCs/>
          <w:color w:val="000000"/>
          <w:spacing w:val="0"/>
          <w:sz w:val="21"/>
          <w:szCs w:val="32"/>
        </w:rPr>
      </w:pPr>
    </w:p>
    <w:p w:rsidR="00E60FE1" w:rsidRDefault="00E60FE1" w:rsidP="00E60FE1">
      <w:pPr>
        <w:numPr>
          <w:ilvl w:val="0"/>
          <w:numId w:val="1"/>
        </w:numPr>
        <w:tabs>
          <w:tab w:val="left" w:pos="312"/>
        </w:tabs>
        <w:spacing w:line="560" w:lineRule="exact"/>
        <w:ind w:firstLine="618"/>
        <w:rPr>
          <w:rFonts w:hAnsi="仿宋"/>
          <w:color w:val="000000"/>
          <w:spacing w:val="-6"/>
          <w:szCs w:val="32"/>
        </w:rPr>
      </w:pPr>
      <w:r>
        <w:rPr>
          <w:rFonts w:hAnsi="仿宋" w:hint="eastAsia"/>
          <w:color w:val="000000"/>
          <w:spacing w:val="-6"/>
          <w:szCs w:val="32"/>
        </w:rPr>
        <w:t>指标中如对期限无特殊说明，一般使用企业上一会计年度财务数据和统计数据。年度中间开业或者终止经营活动的，以其实际经营期作为一个会计年度确定相关指标。</w:t>
      </w:r>
    </w:p>
    <w:p w:rsidR="00E60FE1" w:rsidRDefault="00E60FE1" w:rsidP="00E60FE1">
      <w:pPr>
        <w:numPr>
          <w:ilvl w:val="0"/>
          <w:numId w:val="1"/>
        </w:numPr>
        <w:tabs>
          <w:tab w:val="left" w:pos="312"/>
        </w:tabs>
        <w:spacing w:line="560" w:lineRule="exact"/>
        <w:ind w:firstLine="618"/>
        <w:rPr>
          <w:rFonts w:hAnsi="仿宋"/>
          <w:color w:val="000000"/>
          <w:spacing w:val="-6"/>
          <w:szCs w:val="32"/>
        </w:rPr>
      </w:pPr>
      <w:r>
        <w:rPr>
          <w:rFonts w:hAnsi="仿宋" w:hint="eastAsia"/>
          <w:color w:val="000000"/>
          <w:spacing w:val="-6"/>
          <w:szCs w:val="32"/>
        </w:rPr>
        <w:t>企业职工总数包括企业上一会计年度在职、兼职和临时聘用人员。在职人员可以通过是否签订了劳动合同、缴纳社会保险费、缴纳工资薪金个人所得税等方式之一进行鉴别，兼职、临时聘用人员全年须在企业累计工作六个月以上。</w:t>
      </w:r>
    </w:p>
    <w:p w:rsidR="00E60FE1" w:rsidRDefault="00E60FE1" w:rsidP="00E60FE1">
      <w:pPr>
        <w:numPr>
          <w:ilvl w:val="0"/>
          <w:numId w:val="1"/>
        </w:numPr>
        <w:tabs>
          <w:tab w:val="left" w:pos="312"/>
        </w:tabs>
        <w:spacing w:line="560" w:lineRule="exact"/>
        <w:ind w:firstLine="618"/>
        <w:rPr>
          <w:rFonts w:hAnsi="仿宋"/>
          <w:color w:val="000000"/>
          <w:spacing w:val="-6"/>
          <w:szCs w:val="32"/>
        </w:rPr>
      </w:pPr>
      <w:r>
        <w:rPr>
          <w:rFonts w:hAnsi="仿宋" w:hint="eastAsia"/>
          <w:color w:val="000000"/>
          <w:spacing w:val="-6"/>
          <w:szCs w:val="32"/>
        </w:rPr>
        <w:t>企业科技人员是指企业直接从事研发和相关技术创新活动，以及专门从事上述活动管理和提供直接服务的人员，包括在职、兼职和临时聘用人员，兼职、临时聘用人员全年须在企业累计工作六个月以上。</w:t>
      </w:r>
    </w:p>
    <w:p w:rsidR="00E60FE1" w:rsidRDefault="00E60FE1" w:rsidP="00E60FE1">
      <w:pPr>
        <w:numPr>
          <w:ilvl w:val="0"/>
          <w:numId w:val="1"/>
        </w:numPr>
        <w:tabs>
          <w:tab w:val="left" w:pos="312"/>
        </w:tabs>
        <w:spacing w:line="560" w:lineRule="exact"/>
        <w:ind w:firstLine="618"/>
        <w:rPr>
          <w:rFonts w:hAnsi="仿宋"/>
          <w:color w:val="000000"/>
          <w:spacing w:val="-6"/>
          <w:szCs w:val="32"/>
        </w:rPr>
      </w:pPr>
      <w:r>
        <w:rPr>
          <w:rFonts w:hAnsi="仿宋" w:hint="eastAsia"/>
          <w:color w:val="000000"/>
          <w:spacing w:val="-6"/>
          <w:szCs w:val="32"/>
        </w:rPr>
        <w:t>研发费用是指企业进行研发活动和创意设计活动而发生的相关费用。具体按照财政部、国家税务总局、科技部有关规定</w:t>
      </w:r>
      <w:r>
        <w:rPr>
          <w:rFonts w:ascii="Calibri" w:hAnsi="Calibri" w:hint="eastAsia"/>
          <w:bCs/>
          <w:color w:val="000000"/>
          <w:spacing w:val="0"/>
          <w:szCs w:val="32"/>
        </w:rPr>
        <w:t>执</w:t>
      </w:r>
      <w:r>
        <w:rPr>
          <w:rFonts w:hAnsi="仿宋" w:hint="eastAsia"/>
          <w:color w:val="000000"/>
          <w:spacing w:val="-6"/>
          <w:szCs w:val="32"/>
        </w:rPr>
        <w:t>行。</w:t>
      </w:r>
    </w:p>
    <w:p w:rsidR="00E60FE1" w:rsidRDefault="00E60FE1" w:rsidP="00E60FE1">
      <w:pPr>
        <w:numPr>
          <w:ilvl w:val="0"/>
          <w:numId w:val="1"/>
        </w:numPr>
        <w:tabs>
          <w:tab w:val="left" w:pos="312"/>
        </w:tabs>
        <w:spacing w:line="560" w:lineRule="exact"/>
        <w:ind w:firstLine="618"/>
        <w:rPr>
          <w:rFonts w:hAnsi="仿宋"/>
          <w:color w:val="000000"/>
          <w:spacing w:val="-6"/>
          <w:szCs w:val="32"/>
        </w:rPr>
      </w:pPr>
      <w:r>
        <w:rPr>
          <w:rFonts w:hAnsi="仿宋" w:hint="eastAsia"/>
          <w:color w:val="000000"/>
          <w:spacing w:val="-6"/>
          <w:szCs w:val="32"/>
        </w:rPr>
        <w:t>销售收入采用上一会计年度财务数据，为主营业务与其他业务收入之和，按照企业所得税年度纳税申报表的口径。</w:t>
      </w:r>
    </w:p>
    <w:p w:rsidR="00E60FE1" w:rsidRDefault="00E60FE1" w:rsidP="00E60FE1">
      <w:pPr>
        <w:numPr>
          <w:ilvl w:val="0"/>
          <w:numId w:val="1"/>
        </w:numPr>
        <w:tabs>
          <w:tab w:val="left" w:pos="312"/>
        </w:tabs>
        <w:spacing w:line="560" w:lineRule="exact"/>
        <w:ind w:firstLine="618"/>
        <w:rPr>
          <w:rFonts w:hAnsi="仿宋"/>
          <w:color w:val="000000"/>
          <w:spacing w:val="-6"/>
          <w:szCs w:val="32"/>
        </w:rPr>
      </w:pPr>
      <w:r>
        <w:rPr>
          <w:rFonts w:hAnsi="仿宋" w:hint="eastAsia"/>
          <w:color w:val="000000"/>
          <w:spacing w:val="-6"/>
          <w:szCs w:val="32"/>
        </w:rPr>
        <w:t>成本费用支出总额包括营业成本、税金及附加和期间费用，根据企业会计制度，采用上一会计年度财务数据。成本费用按照企业所得税年度纳税申报表口径。成本费用支出总额=营业成本+税金及附加+销售费用+管理费用+研发费用+财务费用。</w:t>
      </w:r>
    </w:p>
    <w:p w:rsidR="00E60FE1" w:rsidRDefault="00E60FE1" w:rsidP="00E60FE1">
      <w:pPr>
        <w:numPr>
          <w:ilvl w:val="0"/>
          <w:numId w:val="1"/>
        </w:numPr>
        <w:tabs>
          <w:tab w:val="left" w:pos="312"/>
        </w:tabs>
        <w:spacing w:line="560" w:lineRule="exact"/>
        <w:ind w:firstLine="618"/>
        <w:rPr>
          <w:rFonts w:hAnsi="仿宋"/>
          <w:color w:val="000000"/>
          <w:spacing w:val="-6"/>
          <w:szCs w:val="32"/>
        </w:rPr>
      </w:pPr>
      <w:r>
        <w:rPr>
          <w:rFonts w:hAnsi="仿宋" w:hint="eastAsia"/>
          <w:color w:val="000000"/>
          <w:spacing w:val="-6"/>
          <w:szCs w:val="32"/>
        </w:rPr>
        <w:lastRenderedPageBreak/>
        <w:t>知识产权须在中国境内授权或审批审定，知识产权权属人应为评价申请企业。知识产权采用分类评价，其中：发明专利（不含国防专利）、植物新品种、国家级农作物品种、国家新药、国家一级中药保护品种、集成电路布图设计专有权等按Ⅰ类评价；实用新型专利、外观设计专利、软件著作权等按Ⅱ类评价。</w:t>
      </w:r>
    </w:p>
    <w:p w:rsidR="00E60FE1" w:rsidRDefault="00E60FE1" w:rsidP="00E60FE1">
      <w:pPr>
        <w:numPr>
          <w:ilvl w:val="0"/>
          <w:numId w:val="1"/>
        </w:numPr>
        <w:tabs>
          <w:tab w:val="left" w:pos="312"/>
        </w:tabs>
        <w:spacing w:line="560" w:lineRule="exact"/>
        <w:ind w:firstLine="618"/>
        <w:rPr>
          <w:rFonts w:hAnsi="仿宋"/>
          <w:color w:val="000000"/>
          <w:spacing w:val="-6"/>
          <w:szCs w:val="32"/>
        </w:rPr>
      </w:pPr>
      <w:r>
        <w:rPr>
          <w:rFonts w:hAnsi="仿宋" w:hint="eastAsia"/>
          <w:color w:val="000000"/>
          <w:spacing w:val="-6"/>
          <w:szCs w:val="32"/>
        </w:rPr>
        <w:t>研发机构指的是由市直及以上单位批准认定的企业牵头建立的实验室、研究中心、技术中心、设计中心、创新中心及研究院等各类创新平台（基地）。证明材料以出具的研发机构批准认定文件为准。</w:t>
      </w:r>
    </w:p>
    <w:p w:rsidR="00E60FE1" w:rsidRDefault="00E60FE1" w:rsidP="00E60FE1">
      <w:pPr>
        <w:numPr>
          <w:ilvl w:val="0"/>
          <w:numId w:val="1"/>
        </w:numPr>
        <w:tabs>
          <w:tab w:val="left" w:pos="312"/>
        </w:tabs>
        <w:spacing w:line="560" w:lineRule="exact"/>
        <w:ind w:firstLine="618"/>
        <w:rPr>
          <w:rFonts w:hAnsi="仿宋"/>
          <w:color w:val="000000"/>
          <w:spacing w:val="-6"/>
          <w:szCs w:val="32"/>
        </w:rPr>
      </w:pPr>
      <w:r>
        <w:rPr>
          <w:rFonts w:hAnsi="仿宋" w:hint="eastAsia"/>
          <w:color w:val="000000"/>
          <w:spacing w:val="-6"/>
          <w:szCs w:val="32"/>
        </w:rPr>
        <w:t>办法所指的“发生重大安全、重大质量事故和严重环境违法、科研严重失信行为”“列入经营异常名录和严重违法失信企业名单”以有关部门根据相关法律法规出具的意见为准或参考国家公共信用信息中心“信用中国”网站（https://www.creditchina.gov.cn）和国家市场监督管理总局“国家企业信用信息公示系统”（http://www.gsxt.gov.cn）</w:t>
      </w:r>
    </w:p>
    <w:p w:rsidR="00E60FE1" w:rsidRDefault="00E60FE1" w:rsidP="00E60FE1">
      <w:pPr>
        <w:numPr>
          <w:ilvl w:val="0"/>
          <w:numId w:val="1"/>
        </w:numPr>
        <w:tabs>
          <w:tab w:val="left" w:pos="312"/>
        </w:tabs>
        <w:spacing w:line="560" w:lineRule="exact"/>
        <w:ind w:firstLine="618"/>
        <w:rPr>
          <w:rFonts w:hAnsi="仿宋"/>
          <w:color w:val="000000"/>
          <w:spacing w:val="-6"/>
          <w:szCs w:val="32"/>
        </w:rPr>
      </w:pPr>
      <w:r>
        <w:rPr>
          <w:rFonts w:hAnsi="仿宋" w:hint="eastAsia"/>
          <w:color w:val="000000"/>
          <w:spacing w:val="-6"/>
          <w:szCs w:val="32"/>
        </w:rPr>
        <w:t>如无特殊说明，所称“以上”、“以下”，包括本数；所称的“超过”，不包括本数；近三年、近五年包括填报当年。</w:t>
      </w:r>
    </w:p>
    <w:p w:rsidR="00263209" w:rsidRPr="00E60FE1" w:rsidRDefault="00263209">
      <w:bookmarkStart w:id="0" w:name="_GoBack"/>
      <w:bookmarkEnd w:id="0"/>
    </w:p>
    <w:sectPr w:rsidR="00263209" w:rsidRPr="00E60FE1" w:rsidSect="00E60FE1">
      <w:pgSz w:w="11906" w:h="16838"/>
      <w:pgMar w:top="1440" w:right="1531"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方正黑体_GBK">
    <w:altName w:val="Arial Unicode MS"/>
    <w:charset w:val="86"/>
    <w:family w:val="auto"/>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chineseCounting"/>
      <w:suff w:val="nothing"/>
      <w:lvlText w:val="%1、"/>
      <w:lvlJc w:val="left"/>
      <w:pPr>
        <w:ind w:left="-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E1"/>
    <w:rsid w:val="00263209"/>
    <w:rsid w:val="00E6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D2DE3-0385-46CC-A7EB-A8018035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E60FE1"/>
    <w:pPr>
      <w:widowControl w:val="0"/>
      <w:jc w:val="both"/>
    </w:pPr>
    <w:rPr>
      <w:rFonts w:ascii="仿宋_GB2312" w:eastAsia="仿宋_GB2312" w:hAnsi="Times New Roman" w:cs="Times New Roman"/>
      <w:spacing w:val="-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_Style 4"/>
    <w:basedOn w:val="a"/>
    <w:rsid w:val="00E60FE1"/>
    <w:pPr>
      <w:widowControl/>
      <w:spacing w:after="160" w:line="240" w:lineRule="exact"/>
      <w:jc w:val="left"/>
    </w:pPr>
  </w:style>
  <w:style w:type="paragraph" w:styleId="a3">
    <w:name w:val="Body Text Indent"/>
    <w:basedOn w:val="a"/>
    <w:link w:val="a4"/>
    <w:uiPriority w:val="99"/>
    <w:semiHidden/>
    <w:unhideWhenUsed/>
    <w:rsid w:val="00E60FE1"/>
    <w:pPr>
      <w:spacing w:after="120"/>
      <w:ind w:leftChars="200" w:left="420"/>
    </w:pPr>
  </w:style>
  <w:style w:type="character" w:customStyle="1" w:styleId="a4">
    <w:name w:val="正文文本缩进 字符"/>
    <w:basedOn w:val="a0"/>
    <w:link w:val="a3"/>
    <w:uiPriority w:val="99"/>
    <w:semiHidden/>
    <w:rsid w:val="00E60FE1"/>
    <w:rPr>
      <w:rFonts w:ascii="仿宋_GB2312" w:eastAsia="仿宋_GB2312" w:hAnsi="Times New Roman" w:cs="Times New Roman"/>
      <w:spacing w:val="-4"/>
      <w:sz w:val="32"/>
      <w:szCs w:val="20"/>
    </w:rPr>
  </w:style>
  <w:style w:type="paragraph" w:styleId="2">
    <w:name w:val="Body Text First Indent 2"/>
    <w:basedOn w:val="a3"/>
    <w:link w:val="20"/>
    <w:uiPriority w:val="99"/>
    <w:semiHidden/>
    <w:unhideWhenUsed/>
    <w:rsid w:val="00E60FE1"/>
    <w:pPr>
      <w:ind w:firstLineChars="200" w:firstLine="420"/>
    </w:pPr>
  </w:style>
  <w:style w:type="character" w:customStyle="1" w:styleId="20">
    <w:name w:val="正文首行缩进 2 字符"/>
    <w:basedOn w:val="a4"/>
    <w:link w:val="2"/>
    <w:uiPriority w:val="99"/>
    <w:semiHidden/>
    <w:rsid w:val="00E60FE1"/>
    <w:rPr>
      <w:rFonts w:ascii="仿宋_GB2312" w:eastAsia="仿宋_GB2312" w:hAnsi="Times New Roman" w:cs="Times New Roman"/>
      <w:spacing w:val="-4"/>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马春丽</dc:creator>
  <cp:keywords/>
  <dc:description/>
  <cp:lastModifiedBy>马春丽</cp:lastModifiedBy>
  <cp:revision>1</cp:revision>
  <dcterms:created xsi:type="dcterms:W3CDTF">2023-01-13T07:39:00Z</dcterms:created>
  <dcterms:modified xsi:type="dcterms:W3CDTF">2023-01-13T07:39:00Z</dcterms:modified>
</cp:coreProperties>
</file>