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深圳市关于促进外资稳规模优结构若干措施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  <w:t>（征求意见稿）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起草说明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为深入贯彻落实党的二十大精神，落实中央、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市关于稳外资工作的决策部署，推动新一轮高水平对外开放，激发市场主体活力，加速我市利用外资高质量发展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，我局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研究起草了《深圳市关于促进外资稳规模优结构若干措施》（以下简称《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若干措施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》），现就有关情况说明如下：</w:t>
      </w:r>
    </w:p>
    <w:p>
      <w:pPr>
        <w:pStyle w:val="2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一、《若干措施》政策背景</w:t>
      </w:r>
    </w:p>
    <w:p>
      <w:pPr>
        <w:pStyle w:val="2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近年来，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在全球经济增长放缓、跨国投资低迷、国际环境不确定性增加、各国引资竞争加剧的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背景下，我国坚持积极扩大高水平对外开放，高度重视吸引和利用外资。2022年10月，党的二十大报告提出“推进高水平对外开放”、“合理缩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减外资准入负面清单，依法保护外商投资权益，营造市场化、法治化、国际化一流营商环境”。2022年年12月，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中央经济工作会议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中央经济工作会议时提出五个方面着力点，其中之一是“更大力度吸引和利用外资”。2023年3月，十四届全国人大一次会议表决通过了关于政府工作报告的决议，政府工作报告指出：“更大力度吸引和利用外资”、“做好外资企业服务工作，推动外资标志性项目落地建设”。为贯彻落实党中央、国务院决策部署，贯彻落实市委市政府关于稳外资的工作部署，市商务局拟结合我市利用外资实际情况，起草《深圳市关于促进外资稳规模优结构若干措施》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进一步稳定外资规模、优化外资结构、提升外资质量。</w:t>
      </w:r>
    </w:p>
    <w:p>
      <w:pPr>
        <w:pStyle w:val="2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二、《若干措施》主要内容和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特点</w:t>
      </w:r>
    </w:p>
    <w:p>
      <w:pPr>
        <w:keepNext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kern w:val="2"/>
          <w:sz w:val="32"/>
          <w:szCs w:val="32"/>
          <w:u w:val="none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u w:val="none"/>
          <w:lang w:val="en-US" w:eastAsia="zh-CN" w:bidi="zh-CN"/>
        </w:rPr>
        <w:t>（一）思路及目标</w:t>
      </w:r>
    </w:p>
    <w:p>
      <w:pPr>
        <w:pStyle w:val="2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《若干措施》制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定坚持高水平对外开放格局中稳外资，坚持问题导向、</w:t>
      </w:r>
      <w:r>
        <w:rPr>
          <w:rFonts w:hint="default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目标导向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、效果导向</w:t>
      </w:r>
      <w:r>
        <w:rPr>
          <w:rFonts w:hint="default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多措并举不断提高利用外资的质量和水平。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注重外资奖励的精准性、实效性，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优化《深圳市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鼓励跨国公司设立总部企业办法》，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从稳定外资规模、优化外资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结构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、吸引跨国公司和外资研发中心、优化营商环境等方面发力，推动我市利用外资</w:t>
      </w:r>
      <w:r>
        <w:rPr>
          <w:rFonts w:hint="eastAsia" w:cs="仿宋_GB2312"/>
          <w:kern w:val="2"/>
          <w:sz w:val="32"/>
          <w:szCs w:val="32"/>
          <w:highlight w:val="none"/>
          <w:lang w:val="en-US" w:eastAsia="zh-CN" w:bidi="ar-SA"/>
        </w:rPr>
        <w:t>进一步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高质量发展。</w:t>
      </w:r>
    </w:p>
    <w:p>
      <w:pPr>
        <w:keepNext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u w:val="none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u w:val="none"/>
          <w:lang w:val="en-US" w:eastAsia="zh-CN" w:bidi="zh-CN"/>
        </w:rPr>
        <w:t>（二）主要举措和特点</w:t>
      </w:r>
    </w:p>
    <w:p>
      <w:pPr>
        <w:keepNext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zh-CN"/>
        </w:rPr>
        <w:t>《若干措施》共10条具体举措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一是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推进高水平对外开放，更大力度吸引和利用外资；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二是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加大招商引资力度，稳住利用外资规模；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聚焦重点产业领域，优化利用外资结构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四是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聚焦发达国家和地区，加强世界500强培育引进；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五是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加快引进金融机构，增强金融服务外商投资能力；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六是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持续引进跨国公司总部企业，聚力打造总部经济高地；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七是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加大研发中心发展支持，吸引设立研发机构；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八是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发挥服务外资企业工作专班作用，助力企业稳定发展；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九是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强化外资项目服务保障，推动更多项目落地实施；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十是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持续优化外资营商环境，稳定外商投资预期和信心。其主要特点如下：</w:t>
      </w:r>
    </w:p>
    <w:p>
      <w:pPr>
        <w:pStyle w:val="2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1.稳住利用外资规模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《若干措施》第二条主要是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聚焦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稳住利用外资规模。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外商投资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企业新设和增资奖励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对在深圳年实际使用外资金额（已纳入统计且不含外方股东贷款，下同）超过3000万美元的新设和增资企业（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房地产业、金融业及类金融业除外，下同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按其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年实际使用外资金额最高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4%的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比例予以奖励，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推动外商投资企业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增资扩产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在政策调研中，外商投资企业对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《深圳市关于进一步扩大利用外资规模提升利用外资质量的若干措施（修订版）》(深府〔2019〕63号)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年实际外资金额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提出申请门槛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高的意见建议，因此，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《若干措施》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放宽了申请门槛，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从原先年实际外资金额超过5000万美元下调至年实际外资金额超过3000万美元。</w:t>
      </w:r>
    </w:p>
    <w:p>
      <w:pPr>
        <w:pStyle w:val="5"/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2.优化利用外资结构</w:t>
      </w:r>
    </w:p>
    <w:p>
      <w:pPr>
        <w:pStyle w:val="6"/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《若干措施》第三至五条主要是围绕优化利用外资结构制定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奖励举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措。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对属于“20+8”产业集群制造业，以及租赁和商务服务业、批发和零售业、住宿和餐饮业领域，其外商投资企业新设和增资奖励比例提高至最高5%，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最高奖励1亿元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对属于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欧美、日韩、新加坡等国家直接投资的新设和增资企业，其奖励比例提高至最高5%，最高奖励1亿元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对在深圳设立3年以上的世界500强企业分支机构，若当年转为世界500强企业持股50%以上具有法人资格的一级或二级子公司，且当年营业收入达到2000万元，最高给予一次性100万元奖励。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对在深圳年实际使用外资金额超过1亿美元的新设和增资外资银行、证券、保险法人金融机构，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按其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纳入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注册资本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年实际使用外资金额最高3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%的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比例予以奖励，最高奖励5000万元。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符合条件的跨国公司总部企业，在深圳年实际使用外资金额超过1000万美元的，按其当年实际使用外资金额最高4%的比例予以奖励，最高奖励1亿元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Calibri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3.吸引外资设立跨国公司和外资研发中心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u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《若干措施》第六至七条主要是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聚焦发展更高能级总部经济，加大研发中心发展支持。《若干措施》提出了优化《深圳市鼓励跨国公司设立总部企业办法》举措，扩大覆盖范围、优化支持举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措、强化服务机制、完善便利化措施，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符合条件的跨国公司总部企业，在深圳年实际使用外资金额超过1000万美元的，按其当年实际使用外资金额最高4%的比例予以奖励，最高奖励1亿美元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落实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商务部、科技部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出台的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《关于进一步鼓励外商投资设立研发中心的若干措施》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，鼓励外商投资企业在深圳投资设立研发中心，发挥外资对产业技术水平和科技创新能力的促进作用。</w:t>
      </w:r>
    </w:p>
    <w:p>
      <w:pPr>
        <w:pStyle w:val="5"/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4.持续优化外资营商环境</w:t>
      </w:r>
    </w:p>
    <w:p>
      <w:pPr>
        <w:pStyle w:val="6"/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《若干措施》第八至十条主要是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围绕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优化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外商投资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营商环境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zh-CN" w:eastAsia="zh-CN" w:bidi="ar-SA"/>
        </w:rPr>
        <w:t>促进外商投资企业稳定发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zh-CN" w:eastAsia="zh-CN" w:bidi="ar-SA"/>
        </w:rPr>
        <w:t>《若干措施》提出加强外商投资企业和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外资项目服务保障力度，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《深圳经济特区外商投资条例》宣传、执行、落地力度，完善外商投资企业投诉和合法权益保护机制，加强知识产权保护，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外商投资企业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依法平等参与政府采购、招投标、标准制定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在市场准入审批、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外汇、税收、金融、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境外人才引进和出入境管理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方面明确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配套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的实施，充分发挥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外商投资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促进公共服务体系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作用，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稳定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外商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投资企业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预期和信心。</w:t>
      </w:r>
    </w:p>
    <w:p>
      <w:pPr>
        <w:pStyle w:val="6"/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80FD57-05BA-4D22-AB4E-6B198232B9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38D647F-F8A3-4AE2-9CFF-35C04550D77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628E70D-5A9F-476E-83AD-F4ECD60023F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898EDD79-B5FA-4744-9978-8C8AB0E6EDC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6EDC582-0556-4C59-8596-D1C9093CFCE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B047925F-F4E0-4662-AF9D-04B046E075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GUyN2E3NzM2MGExODZlOWY3N2U1NWY5MzA5MTcifQ=="/>
  </w:docVars>
  <w:rsids>
    <w:rsidRoot w:val="0D7146FA"/>
    <w:rsid w:val="0D7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widowControl/>
      <w:spacing w:before="60" w:line="432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2023-03-28T08:50:00Z</dcterms:created>
  <dc:creator>阿营</dc:creator>
  <cp:lastModifiedBy>阿营</cp:lastModifiedBy>
  <dcterms:modified xsi:type="dcterms:W3CDTF">2023-03-28T08:50:35Z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4A8364264E3C4B9FB4529FF6DF81C974_11</vt:lpwstr>
  </property>
</Properties>
</file>