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spacing w:before="0" w:beforeAutospacing="0" w:after="0" w:afterAutospacing="0" w:line="560" w:lineRule="exact"/>
        <w:rPr>
          <w:rStyle w:val="14"/>
          <w:rFonts w:hint="default" w:ascii="Times New Roman" w:hAnsi="Times New Roman" w:eastAsia="方正黑体_GBK" w:cs="Times New Roman"/>
          <w:b w:val="0"/>
          <w:color w:val="000000"/>
          <w:sz w:val="32"/>
          <w:szCs w:val="32"/>
        </w:rPr>
      </w:pPr>
      <w:r>
        <w:rPr>
          <w:rStyle w:val="14"/>
          <w:rFonts w:hint="default" w:ascii="Times New Roman" w:hAnsi="Times New Roman" w:eastAsia="方正黑体_GBK" w:cs="Times New Roman"/>
          <w:b w:val="0"/>
          <w:color w:val="000000"/>
          <w:sz w:val="32"/>
          <w:szCs w:val="32"/>
        </w:rPr>
        <w:t>附件</w:t>
      </w:r>
    </w:p>
    <w:p>
      <w:pPr>
        <w:keepNext w:val="0"/>
        <w:keepLines w:val="0"/>
        <w:pageBreakBefore w:val="0"/>
        <w:widowControl w:val="0"/>
        <w:kinsoku/>
        <w:wordWrap/>
        <w:overflowPunct/>
        <w:topLinePunct w:val="0"/>
        <w:bidi w:val="0"/>
        <w:spacing w:line="560" w:lineRule="exact"/>
        <w:ind w:firstLine="880" w:firstLineChars="200"/>
        <w:textAlignment w:val="auto"/>
        <w:rPr>
          <w:rFonts w:eastAsia="方正小标宋_GBK"/>
          <w:sz w:val="44"/>
          <w:szCs w:val="44"/>
        </w:rPr>
      </w:pPr>
    </w:p>
    <w:p>
      <w:pPr>
        <w:keepNext w:val="0"/>
        <w:keepLines w:val="0"/>
        <w:pageBreakBefore w:val="0"/>
        <w:widowControl w:val="0"/>
        <w:kinsoku/>
        <w:wordWrap/>
        <w:overflowPunct/>
        <w:topLinePunct w:val="0"/>
        <w:bidi w:val="0"/>
        <w:spacing w:line="560" w:lineRule="exact"/>
        <w:ind w:firstLine="880" w:firstLineChars="200"/>
        <w:jc w:val="center"/>
        <w:textAlignment w:val="auto"/>
        <w:rPr>
          <w:rFonts w:eastAsia="方正小标宋_GBK"/>
          <w:sz w:val="44"/>
          <w:szCs w:val="44"/>
        </w:rPr>
      </w:pPr>
      <w:r>
        <w:rPr>
          <w:rFonts w:hint="eastAsia" w:eastAsia="方正小标宋_GBK"/>
          <w:sz w:val="44"/>
          <w:szCs w:val="44"/>
        </w:rPr>
        <w:t>宿迁市税费征管保障</w:t>
      </w:r>
      <w:r>
        <w:rPr>
          <w:rFonts w:hint="eastAsia" w:eastAsia="方正小标宋_GBK"/>
          <w:sz w:val="44"/>
          <w:szCs w:val="44"/>
          <w:lang w:eastAsia="zh-CN"/>
        </w:rPr>
        <w:t>实施</w:t>
      </w:r>
      <w:r>
        <w:rPr>
          <w:rFonts w:hint="eastAsia" w:eastAsia="方正小标宋_GBK"/>
          <w:sz w:val="44"/>
          <w:szCs w:val="44"/>
        </w:rPr>
        <w:t>办法</w:t>
      </w:r>
    </w:p>
    <w:p>
      <w:pPr>
        <w:keepNext w:val="0"/>
        <w:keepLines w:val="0"/>
        <w:pageBreakBefore w:val="0"/>
        <w:widowControl w:val="0"/>
        <w:kinsoku/>
        <w:wordWrap/>
        <w:overflowPunct/>
        <w:topLinePunct w:val="0"/>
        <w:bidi w:val="0"/>
        <w:spacing w:line="560" w:lineRule="exact"/>
        <w:ind w:firstLine="720" w:firstLineChars="200"/>
        <w:jc w:val="center"/>
        <w:textAlignment w:val="auto"/>
        <w:outlineLvl w:val="0"/>
        <w:rPr>
          <w:rFonts w:eastAsia="方正小标宋_GBK"/>
          <w:color w:val="auto"/>
          <w:sz w:val="44"/>
          <w:szCs w:val="44"/>
        </w:rPr>
      </w:pPr>
      <w:bookmarkStart w:id="1" w:name="_GoBack"/>
      <w:bookmarkEnd w:id="1"/>
      <w:r>
        <w:rPr>
          <w:rFonts w:hint="eastAsia" w:ascii="楷体" w:hAnsi="楷体" w:eastAsia="楷体" w:cs="方正公文小标宋"/>
          <w:color w:val="auto"/>
          <w:sz w:val="36"/>
          <w:szCs w:val="36"/>
        </w:rPr>
        <w:t>（</w:t>
      </w:r>
      <w:r>
        <w:rPr>
          <w:rFonts w:hint="eastAsia" w:ascii="楷体" w:hAnsi="楷体" w:eastAsia="楷体" w:cs="方正公文小标宋"/>
          <w:color w:val="auto"/>
          <w:sz w:val="36"/>
          <w:szCs w:val="36"/>
          <w:lang w:eastAsia="zh-CN"/>
        </w:rPr>
        <w:t>征求意见稿</w:t>
      </w:r>
      <w:r>
        <w:rPr>
          <w:rFonts w:hint="eastAsia" w:ascii="楷体" w:hAnsi="楷体" w:eastAsia="楷体" w:cs="方正公文小标宋"/>
          <w:color w:val="auto"/>
          <w:sz w:val="36"/>
          <w:szCs w:val="36"/>
        </w:rPr>
        <w:t>）</w:t>
      </w:r>
    </w:p>
    <w:p>
      <w:pPr>
        <w:keepNext w:val="0"/>
        <w:keepLines w:val="0"/>
        <w:pageBreakBefore w:val="0"/>
        <w:widowControl w:val="0"/>
        <w:kinsoku/>
        <w:wordWrap/>
        <w:overflowPunct/>
        <w:topLinePunct w:val="0"/>
        <w:bidi w:val="0"/>
        <w:spacing w:line="560" w:lineRule="exact"/>
        <w:ind w:firstLine="880" w:firstLineChars="200"/>
        <w:jc w:val="center"/>
        <w:textAlignment w:val="auto"/>
        <w:rPr>
          <w:rFonts w:eastAsia="方正小标宋_GBK"/>
          <w:sz w:val="44"/>
          <w:szCs w:val="44"/>
        </w:rPr>
      </w:pPr>
    </w:p>
    <w:p>
      <w:pPr>
        <w:keepNext w:val="0"/>
        <w:keepLines w:val="0"/>
        <w:pageBreakBefore w:val="0"/>
        <w:widowControl w:val="0"/>
        <w:numPr>
          <w:ilvl w:val="0"/>
          <w:numId w:val="1"/>
        </w:numPr>
        <w:kinsoku/>
        <w:wordWrap/>
        <w:overflowPunct/>
        <w:topLinePunct w:val="0"/>
        <w:bidi w:val="0"/>
        <w:spacing w:line="560" w:lineRule="exact"/>
        <w:jc w:val="center"/>
        <w:textAlignment w:val="auto"/>
        <w:outlineLvl w:val="0"/>
        <w:rPr>
          <w:rFonts w:hint="eastAsia" w:eastAsia="方正小标宋_GBK"/>
          <w:sz w:val="32"/>
          <w:szCs w:val="32"/>
        </w:rPr>
      </w:pPr>
      <w:r>
        <w:rPr>
          <w:rFonts w:hint="eastAsia" w:eastAsia="方正小标宋_GBK"/>
          <w:sz w:val="32"/>
          <w:szCs w:val="32"/>
        </w:rPr>
        <w:t>总</w:t>
      </w:r>
      <w:r>
        <w:rPr>
          <w:rFonts w:hint="eastAsia" w:eastAsia="方正小标宋_GBK"/>
          <w:sz w:val="32"/>
          <w:szCs w:val="32"/>
          <w:lang w:val="en-US" w:eastAsia="zh-CN"/>
        </w:rPr>
        <w:t xml:space="preserve">  </w:t>
      </w:r>
      <w:r>
        <w:rPr>
          <w:rFonts w:hint="eastAsia" w:eastAsia="方正小标宋_GBK"/>
          <w:sz w:val="32"/>
          <w:szCs w:val="32"/>
        </w:rPr>
        <w:t>则</w:t>
      </w:r>
    </w:p>
    <w:p>
      <w:pPr>
        <w:keepNext w:val="0"/>
        <w:keepLines w:val="0"/>
        <w:pageBreakBefore w:val="0"/>
        <w:widowControl w:val="0"/>
        <w:numPr>
          <w:ilvl w:val="0"/>
          <w:numId w:val="0"/>
        </w:numPr>
        <w:kinsoku/>
        <w:wordWrap/>
        <w:overflowPunct/>
        <w:topLinePunct w:val="0"/>
        <w:bidi w:val="0"/>
        <w:spacing w:line="560" w:lineRule="exact"/>
        <w:jc w:val="both"/>
        <w:textAlignment w:val="auto"/>
        <w:rPr>
          <w:rFonts w:hint="eastAsia" w:eastAsia="方正小标宋_GBK"/>
          <w:sz w:val="32"/>
          <w:szCs w:val="32"/>
        </w:rPr>
      </w:pP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color w:val="auto"/>
          <w:sz w:val="32"/>
          <w:szCs w:val="32"/>
        </w:rPr>
      </w:pPr>
      <w:r>
        <w:rPr>
          <w:rFonts w:hint="eastAsia" w:ascii="仿宋" w:hAnsi="仿宋" w:eastAsia="仿宋" w:cs="宋体"/>
          <w:sz w:val="32"/>
          <w:szCs w:val="32"/>
        </w:rPr>
        <w:t>为加强税费协同征收管理，促进经济和社会高质量发展，根据《</w:t>
      </w:r>
      <w:r>
        <w:rPr>
          <w:rFonts w:hint="eastAsia" w:ascii="仿宋" w:hAnsi="仿宋" w:eastAsia="仿宋" w:cs="宋体"/>
          <w:color w:val="auto"/>
          <w:sz w:val="32"/>
          <w:szCs w:val="32"/>
        </w:rPr>
        <w:t>中华人民共和国税收征收管理法》、《江苏省税费征管保障办法》（江苏省人民政府令第159号）等法律法规</w:t>
      </w:r>
      <w:r>
        <w:rPr>
          <w:rFonts w:hint="eastAsia" w:ascii="仿宋" w:hAnsi="仿宋" w:eastAsia="仿宋" w:cs="宋体"/>
          <w:color w:val="auto"/>
          <w:sz w:val="32"/>
          <w:szCs w:val="32"/>
          <w:lang w:eastAsia="zh-CN"/>
        </w:rPr>
        <w:t>及规章</w:t>
      </w:r>
      <w:r>
        <w:rPr>
          <w:rFonts w:hint="eastAsia" w:ascii="仿宋" w:hAnsi="仿宋" w:eastAsia="仿宋" w:cs="宋体"/>
          <w:color w:val="auto"/>
          <w:sz w:val="32"/>
          <w:szCs w:val="32"/>
        </w:rPr>
        <w:t>，结合宿迁实际，制定本办法。</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color w:val="auto"/>
          <w:sz w:val="32"/>
          <w:szCs w:val="32"/>
        </w:rPr>
      </w:pPr>
      <w:r>
        <w:rPr>
          <w:rFonts w:hint="eastAsia" w:ascii="仿宋" w:hAnsi="仿宋" w:eastAsia="仿宋" w:cs="宋体"/>
          <w:color w:val="auto"/>
          <w:sz w:val="32"/>
          <w:szCs w:val="32"/>
        </w:rPr>
        <w:t>本市税费管理、税费服务、税费监管以及相关信息共享、协同保障等活动，适用本办法。</w:t>
      </w:r>
    </w:p>
    <w:p>
      <w:pPr>
        <w:pStyle w:val="6"/>
        <w:keepNext w:val="0"/>
        <w:keepLines w:val="0"/>
        <w:pageBreakBefore w:val="0"/>
        <w:widowControl w:val="0"/>
        <w:tabs>
          <w:tab w:val="left" w:pos="0"/>
        </w:tabs>
        <w:kinsoku/>
        <w:wordWrap/>
        <w:overflowPunct/>
        <w:topLinePunct w:val="0"/>
        <w:autoSpaceDE/>
        <w:autoSpaceDN/>
        <w:bidi w:val="0"/>
        <w:adjustRightInd w:val="0"/>
        <w:snapToGrid/>
        <w:spacing w:line="560" w:lineRule="exact"/>
        <w:ind w:firstLine="640" w:firstLineChars="200"/>
        <w:textAlignment w:val="auto"/>
        <w:rPr>
          <w:rFonts w:ascii="仿宋" w:hAnsi="仿宋" w:eastAsia="仿宋" w:cs="宋体"/>
          <w:color w:val="auto"/>
          <w:sz w:val="32"/>
          <w:szCs w:val="32"/>
        </w:rPr>
      </w:pPr>
      <w:r>
        <w:rPr>
          <w:rFonts w:hint="eastAsia" w:ascii="仿宋" w:hAnsi="仿宋" w:eastAsia="仿宋" w:cs="宋体"/>
          <w:color w:val="auto"/>
          <w:sz w:val="32"/>
          <w:szCs w:val="32"/>
        </w:rPr>
        <w:t>本办法所称税费是指由本市税务机关征收或者征收管理（以下简称征管）的税收、社会保险费和非税收入。</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color w:val="auto"/>
          <w:sz w:val="32"/>
          <w:szCs w:val="32"/>
        </w:rPr>
      </w:pPr>
      <w:r>
        <w:rPr>
          <w:rFonts w:hint="eastAsia" w:ascii="仿宋" w:hAnsi="仿宋" w:eastAsia="仿宋" w:cs="宋体"/>
          <w:color w:val="auto"/>
          <w:sz w:val="32"/>
          <w:szCs w:val="32"/>
        </w:rPr>
        <w:t>税费征管保障工作遵循党委领导、政府负责、税务为主、部门合作、社会协同、公众参与、司法保障、科技支撑的原则。</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color w:val="auto"/>
          <w:sz w:val="32"/>
          <w:szCs w:val="32"/>
        </w:rPr>
      </w:pPr>
      <w:r>
        <w:rPr>
          <w:rFonts w:hint="eastAsia" w:ascii="仿宋" w:hAnsi="仿宋" w:eastAsia="仿宋" w:cs="宋体"/>
          <w:color w:val="auto"/>
          <w:sz w:val="32"/>
          <w:szCs w:val="32"/>
        </w:rPr>
        <w:t>市政府成立宿迁市税费征管保障领导小组（以下简称“领导小组”），负责指导、协调、考核全市的税费征管保障工作。领导小组由市政府分管</w:t>
      </w:r>
      <w:r>
        <w:rPr>
          <w:rFonts w:hint="eastAsia" w:ascii="仿宋" w:hAnsi="仿宋" w:eastAsia="仿宋" w:cs="宋体"/>
          <w:color w:val="auto"/>
          <w:sz w:val="32"/>
          <w:szCs w:val="32"/>
          <w:lang w:eastAsia="zh-CN"/>
        </w:rPr>
        <w:t>副市长</w:t>
      </w:r>
      <w:r>
        <w:rPr>
          <w:rFonts w:hint="eastAsia" w:ascii="仿宋" w:hAnsi="仿宋" w:eastAsia="仿宋" w:cs="宋体"/>
          <w:color w:val="auto"/>
          <w:sz w:val="32"/>
          <w:szCs w:val="32"/>
        </w:rPr>
        <w:t>担任组长，市政府</w:t>
      </w:r>
      <w:r>
        <w:rPr>
          <w:rFonts w:hint="eastAsia" w:ascii="仿宋" w:hAnsi="仿宋" w:eastAsia="仿宋" w:cs="宋体"/>
          <w:color w:val="auto"/>
          <w:sz w:val="32"/>
          <w:szCs w:val="32"/>
          <w:lang w:eastAsia="zh-CN"/>
        </w:rPr>
        <w:t>分管</w:t>
      </w:r>
      <w:r>
        <w:rPr>
          <w:rFonts w:hint="eastAsia" w:ascii="仿宋" w:hAnsi="仿宋" w:eastAsia="仿宋" w:cs="宋体"/>
          <w:color w:val="auto"/>
          <w:sz w:val="32"/>
          <w:szCs w:val="32"/>
        </w:rPr>
        <w:t>副秘书长以及市财政局、市税务局主要负责</w:t>
      </w:r>
      <w:r>
        <w:rPr>
          <w:rFonts w:hint="eastAsia" w:ascii="仿宋" w:hAnsi="仿宋" w:eastAsia="仿宋" w:cs="宋体"/>
          <w:color w:val="auto"/>
          <w:sz w:val="32"/>
          <w:szCs w:val="32"/>
          <w:lang w:eastAsia="zh-CN"/>
        </w:rPr>
        <w:t>同志</w:t>
      </w:r>
      <w:r>
        <w:rPr>
          <w:rFonts w:hint="eastAsia" w:ascii="仿宋" w:hAnsi="仿宋" w:eastAsia="仿宋" w:cs="宋体"/>
          <w:color w:val="auto"/>
          <w:sz w:val="32"/>
          <w:szCs w:val="32"/>
        </w:rPr>
        <w:t>任副组长，各有关单位</w:t>
      </w:r>
      <w:r>
        <w:rPr>
          <w:rFonts w:hint="eastAsia" w:ascii="仿宋" w:hAnsi="仿宋" w:eastAsia="仿宋" w:cs="宋体"/>
          <w:color w:val="auto"/>
          <w:sz w:val="32"/>
          <w:szCs w:val="32"/>
          <w:lang w:eastAsia="zh-CN"/>
        </w:rPr>
        <w:t>和</w:t>
      </w:r>
      <w:r>
        <w:rPr>
          <w:rFonts w:hint="eastAsia" w:ascii="仿宋" w:hAnsi="仿宋" w:eastAsia="仿宋" w:cs="宋体"/>
          <w:color w:val="auto"/>
          <w:sz w:val="32"/>
          <w:szCs w:val="32"/>
        </w:rPr>
        <w:t>部门的</w:t>
      </w:r>
      <w:r>
        <w:rPr>
          <w:rFonts w:hint="eastAsia" w:ascii="仿宋" w:hAnsi="仿宋" w:eastAsia="仿宋" w:cs="宋体"/>
          <w:color w:val="auto"/>
          <w:sz w:val="32"/>
          <w:szCs w:val="32"/>
          <w:lang w:eastAsia="zh-CN"/>
        </w:rPr>
        <w:t>负责同志</w:t>
      </w:r>
      <w:r>
        <w:rPr>
          <w:rFonts w:hint="eastAsia" w:ascii="仿宋" w:hAnsi="仿宋" w:eastAsia="仿宋" w:cs="宋体"/>
          <w:color w:val="auto"/>
          <w:sz w:val="32"/>
          <w:szCs w:val="32"/>
        </w:rPr>
        <w:t>为成员。</w:t>
      </w:r>
    </w:p>
    <w:p>
      <w:pPr>
        <w:ind w:firstLine="640" w:firstLineChars="200"/>
        <w:rPr>
          <w:rFonts w:ascii="仿宋" w:hAnsi="仿宋" w:eastAsia="仿宋"/>
          <w:color w:val="auto"/>
          <w:sz w:val="32"/>
          <w:szCs w:val="32"/>
        </w:rPr>
      </w:pPr>
      <w:r>
        <w:rPr>
          <w:rFonts w:hint="eastAsia" w:ascii="仿宋" w:hAnsi="仿宋" w:eastAsia="仿宋"/>
          <w:color w:val="auto"/>
          <w:sz w:val="32"/>
          <w:szCs w:val="32"/>
        </w:rPr>
        <w:t>领导小组下设办公室，办公地点设在市税务局，市政府分管副秘书长兼任办公室主任，市财政局、市税务局主要负责人兼任办公室副主任。</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color w:val="auto"/>
          <w:sz w:val="32"/>
          <w:szCs w:val="32"/>
        </w:rPr>
      </w:pPr>
      <w:r>
        <w:rPr>
          <w:rFonts w:hint="eastAsia" w:ascii="仿宋" w:hAnsi="仿宋" w:eastAsia="仿宋" w:cs="宋体"/>
          <w:color w:val="auto"/>
          <w:sz w:val="32"/>
          <w:szCs w:val="32"/>
        </w:rPr>
        <w:t>税务机关应当依法履行税费征管职责，牵头负责组织落实税费征管保障工作。</w:t>
      </w:r>
      <w:r>
        <w:rPr>
          <w:rFonts w:hint="eastAsia" w:ascii="仿宋" w:hAnsi="仿宋" w:eastAsia="仿宋" w:cs="宋体"/>
          <w:color w:val="auto"/>
          <w:sz w:val="32"/>
          <w:szCs w:val="32"/>
          <w:lang w:val="en-US" w:eastAsia="zh-CN"/>
        </w:rPr>
        <w:t>有关单位和部门</w:t>
      </w:r>
      <w:r>
        <w:rPr>
          <w:rFonts w:hint="eastAsia" w:ascii="仿宋" w:hAnsi="仿宋" w:eastAsia="仿宋" w:cs="宋体"/>
          <w:color w:val="auto"/>
          <w:sz w:val="32"/>
          <w:szCs w:val="32"/>
        </w:rPr>
        <w:t>应当按照职责清单，将税费征管保障工作落实到具体部门和人员</w:t>
      </w:r>
      <w:r>
        <w:rPr>
          <w:rFonts w:hint="eastAsia" w:ascii="仿宋" w:hAnsi="仿宋" w:eastAsia="仿宋" w:cs="宋体"/>
          <w:color w:val="auto"/>
          <w:sz w:val="32"/>
          <w:szCs w:val="32"/>
          <w:lang w:val="en-US" w:eastAsia="zh-CN"/>
        </w:rPr>
        <w:t>,</w:t>
      </w:r>
      <w:r>
        <w:rPr>
          <w:rFonts w:hint="eastAsia" w:ascii="仿宋" w:hAnsi="仿宋" w:eastAsia="仿宋" w:cs="宋体"/>
          <w:color w:val="auto"/>
          <w:sz w:val="32"/>
          <w:szCs w:val="32"/>
        </w:rPr>
        <w:t>依法做好税费协同管理服务和信息共享保障相关工作。</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lang w:val="en-US" w:eastAsia="zh-CN"/>
        </w:rPr>
        <w:t>各</w:t>
      </w:r>
      <w:r>
        <w:rPr>
          <w:rFonts w:hint="eastAsia" w:ascii="仿宋" w:hAnsi="仿宋" w:eastAsia="仿宋" w:cs="宋体"/>
          <w:color w:val="auto"/>
          <w:sz w:val="32"/>
          <w:szCs w:val="32"/>
        </w:rPr>
        <w:t>县（区）</w:t>
      </w:r>
      <w:r>
        <w:rPr>
          <w:rFonts w:hint="eastAsia" w:ascii="仿宋" w:hAnsi="仿宋" w:eastAsia="仿宋" w:cs="宋体"/>
          <w:color w:val="auto"/>
          <w:sz w:val="32"/>
          <w:szCs w:val="32"/>
          <w:lang w:val="en-US" w:eastAsia="zh-CN"/>
        </w:rPr>
        <w:t>政府应当健全税费征管保障制度和工作机制，组织、协调、督促有关单位和部门落实税费征管保障措施，将税费征管保障工作列入本级政府年度目标考核。</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bookmarkStart w:id="0" w:name="_Hlk122934184"/>
      <w:r>
        <w:rPr>
          <w:rFonts w:hint="eastAsia" w:ascii="仿宋" w:hAnsi="仿宋" w:eastAsia="仿宋" w:cs="宋体"/>
          <w:color w:val="auto"/>
          <w:sz w:val="32"/>
          <w:szCs w:val="32"/>
        </w:rPr>
        <w:t>各级财政应按照规定，对税费征管保障工作相关的支出在年度预算中统一安排。</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税务机关应当建立健全内部制约和监督管理制度，规范税费管理、税费服务、税费监管行为。</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税务人员应当秉公执法，忠于职守，清正廉洁，文明服务，尊重和保护纳税人缴费人的权利，依法接受监督。</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rPr>
      </w:pPr>
    </w:p>
    <w:bookmarkEnd w:id="0"/>
    <w:p>
      <w:pPr>
        <w:keepNext w:val="0"/>
        <w:keepLines w:val="0"/>
        <w:pageBreakBefore w:val="0"/>
        <w:widowControl w:val="0"/>
        <w:numPr>
          <w:ilvl w:val="0"/>
          <w:numId w:val="1"/>
        </w:numPr>
        <w:kinsoku/>
        <w:wordWrap/>
        <w:overflowPunct/>
        <w:topLinePunct w:val="0"/>
        <w:bidi w:val="0"/>
        <w:spacing w:line="560" w:lineRule="exact"/>
        <w:jc w:val="center"/>
        <w:textAlignment w:val="auto"/>
        <w:outlineLvl w:val="0"/>
        <w:rPr>
          <w:rFonts w:hint="eastAsia" w:eastAsia="方正小标宋_GBK"/>
          <w:sz w:val="32"/>
          <w:szCs w:val="32"/>
          <w:lang w:eastAsia="zh-CN"/>
        </w:rPr>
      </w:pPr>
      <w:r>
        <w:rPr>
          <w:rFonts w:hint="eastAsia" w:eastAsia="方正小标宋_GBK"/>
          <w:sz w:val="32"/>
          <w:szCs w:val="32"/>
        </w:rPr>
        <w:t>税费</w:t>
      </w:r>
      <w:r>
        <w:rPr>
          <w:rFonts w:hint="eastAsia" w:eastAsia="方正小标宋_GBK"/>
          <w:sz w:val="32"/>
          <w:szCs w:val="32"/>
          <w:lang w:eastAsia="zh-CN"/>
        </w:rPr>
        <w:t>服务</w:t>
      </w:r>
    </w:p>
    <w:p>
      <w:pPr>
        <w:keepNext w:val="0"/>
        <w:keepLines w:val="0"/>
        <w:pageBreakBefore w:val="0"/>
        <w:widowControl w:val="0"/>
        <w:numPr>
          <w:ilvl w:val="0"/>
          <w:numId w:val="0"/>
        </w:numPr>
        <w:kinsoku/>
        <w:wordWrap/>
        <w:overflowPunct/>
        <w:topLinePunct w:val="0"/>
        <w:bidi w:val="0"/>
        <w:spacing w:line="560" w:lineRule="exact"/>
        <w:jc w:val="both"/>
        <w:textAlignment w:val="auto"/>
        <w:rPr>
          <w:rFonts w:hint="eastAsia" w:eastAsia="方正小标宋_GBK"/>
          <w:sz w:val="32"/>
          <w:szCs w:val="32"/>
          <w:lang w:eastAsia="zh-CN"/>
        </w:rPr>
      </w:pP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税务机关应当加强税费征管，不得违反法律、法规的规定开征、停征、多征、少征、提前征收、延缓征收或者摊派税费。</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税务机关、财政部门应当按照各自职责加强票据、账簿和财务核算等方面的管理，严格控管税源。</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税务机关可以会同乡镇人民政府、街道办事处建立税费协同共治机制，对与社会公众关系密切的社会保险费、城镇垃圾处理费等，借助网格化社会综合治理力量做好代办代缴工作。</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税务机关应当坚持以服务纳税人缴费人为中心，统筹税收、社会保险费、非税收入服务，完善税费一体化服务机制，推进税费业务跨区域通办。</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税务机关应当建立健全税费服务运行机制，优化办税缴费流程、简并税费资料，全面进驻政务服务中心、便民服务中心，实现多部门业务集成办理。</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税务机关推行网上办、移动办、自助办、电话办、邮寄办等非接触式税费办理方式，方便纳税人缴费人办税缴费。</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税务机关应当规范税费服务操作流程，建立健全预约办税、绿色通道、定制服务等工作制度，推行在线互动服务、操作智能引导、表单智能填报、系统自动处理等方式，提升税费服务水平和供给能力。</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税务机关应当广泛宣传税费法规政策，普及办税缴费知识。</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纳税人缴费人有权向税务机关了解税费法规政策以及办税缴费程序和要求。税务机关应当依法为纳税人缴费人免费提供政策咨询、办税缴费辅导等服务。</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单位和个人有权对违反税费法规政策的行为进行举报。税务机关接到举报后应当依法及时处理，并对举报人的相关信息予以保密。</w:t>
      </w:r>
    </w:p>
    <w:p>
      <w:pPr>
        <w:keepNext w:val="0"/>
        <w:keepLines w:val="0"/>
        <w:pageBreakBefore w:val="0"/>
        <w:widowControl w:val="0"/>
        <w:tabs>
          <w:tab w:val="left" w:pos="0"/>
        </w:tabs>
        <w:kinsoku/>
        <w:wordWrap/>
        <w:overflowPunct/>
        <w:topLinePunct w:val="0"/>
        <w:bidi w:val="0"/>
        <w:spacing w:line="560" w:lineRule="exact"/>
        <w:ind w:left="420" w:firstLine="640" w:firstLineChars="200"/>
        <w:jc w:val="center"/>
        <w:textAlignment w:val="auto"/>
        <w:rPr>
          <w:rFonts w:hint="eastAsia" w:eastAsia="方正小标宋_GBK"/>
          <w:sz w:val="32"/>
          <w:szCs w:val="32"/>
        </w:rPr>
      </w:pPr>
    </w:p>
    <w:p>
      <w:pPr>
        <w:keepNext w:val="0"/>
        <w:keepLines w:val="0"/>
        <w:pageBreakBefore w:val="0"/>
        <w:widowControl w:val="0"/>
        <w:numPr>
          <w:ilvl w:val="0"/>
          <w:numId w:val="1"/>
        </w:numPr>
        <w:kinsoku/>
        <w:wordWrap/>
        <w:overflowPunct/>
        <w:topLinePunct w:val="0"/>
        <w:bidi w:val="0"/>
        <w:spacing w:line="560" w:lineRule="exact"/>
        <w:jc w:val="center"/>
        <w:textAlignment w:val="auto"/>
        <w:outlineLvl w:val="0"/>
        <w:rPr>
          <w:rFonts w:hint="eastAsia" w:eastAsia="方正小标宋_GBK"/>
          <w:sz w:val="32"/>
          <w:szCs w:val="32"/>
        </w:rPr>
      </w:pPr>
      <w:r>
        <w:rPr>
          <w:rFonts w:hint="eastAsia" w:eastAsia="方正小标宋_GBK"/>
          <w:sz w:val="32"/>
          <w:szCs w:val="32"/>
        </w:rPr>
        <w:t>信息共享</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leftChars="200"/>
        <w:textAlignment w:val="auto"/>
        <w:rPr>
          <w:rFonts w:hint="eastAsia" w:ascii="仿宋" w:hAnsi="仿宋" w:eastAsia="仿宋" w:cs="宋体"/>
          <w:color w:val="auto"/>
          <w:sz w:val="32"/>
          <w:szCs w:val="32"/>
        </w:rPr>
      </w:pP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rPr>
      </w:pPr>
      <w:r>
        <w:rPr>
          <w:rFonts w:hint="eastAsia" w:ascii="仿宋" w:hAnsi="仿宋" w:eastAsia="仿宋" w:cs="宋体"/>
          <w:color w:val="auto"/>
          <w:sz w:val="32"/>
          <w:szCs w:val="32"/>
        </w:rPr>
        <w:t>税务机关会同有关</w:t>
      </w:r>
      <w:r>
        <w:rPr>
          <w:rFonts w:hint="eastAsia" w:ascii="仿宋" w:hAnsi="仿宋" w:eastAsia="仿宋" w:cs="宋体"/>
          <w:color w:val="auto"/>
          <w:sz w:val="32"/>
          <w:szCs w:val="32"/>
          <w:lang w:eastAsia="zh-CN"/>
        </w:rPr>
        <w:t>单位和</w:t>
      </w:r>
      <w:r>
        <w:rPr>
          <w:rFonts w:hint="eastAsia" w:ascii="仿宋" w:hAnsi="仿宋" w:eastAsia="仿宋" w:cs="宋体"/>
          <w:color w:val="auto"/>
          <w:sz w:val="32"/>
          <w:szCs w:val="32"/>
        </w:rPr>
        <w:t>部门建立健全</w:t>
      </w:r>
      <w:r>
        <w:rPr>
          <w:rFonts w:hint="eastAsia" w:ascii="仿宋" w:hAnsi="仿宋" w:eastAsia="仿宋" w:cs="宋体"/>
          <w:color w:val="auto"/>
          <w:sz w:val="32"/>
          <w:szCs w:val="32"/>
          <w:lang w:eastAsia="zh-CN"/>
        </w:rPr>
        <w:t>涉税费</w:t>
      </w:r>
      <w:r>
        <w:rPr>
          <w:rFonts w:hint="eastAsia" w:ascii="仿宋" w:hAnsi="仿宋" w:eastAsia="仿宋" w:cs="宋体"/>
          <w:color w:val="auto"/>
          <w:sz w:val="32"/>
          <w:szCs w:val="32"/>
        </w:rPr>
        <w:t>信息共享交换机制</w:t>
      </w:r>
      <w:r>
        <w:rPr>
          <w:rFonts w:hint="eastAsia" w:ascii="仿宋" w:hAnsi="仿宋" w:eastAsia="仿宋" w:cs="宋体"/>
          <w:color w:val="auto"/>
          <w:sz w:val="32"/>
          <w:szCs w:val="32"/>
          <w:lang w:val="en-US" w:eastAsia="zh-CN"/>
        </w:rPr>
        <w:t>。</w:t>
      </w:r>
      <w:r>
        <w:rPr>
          <w:rFonts w:hint="eastAsia" w:ascii="仿宋" w:hAnsi="仿宋" w:eastAsia="仿宋" w:cs="宋体"/>
          <w:color w:val="auto"/>
          <w:sz w:val="32"/>
          <w:szCs w:val="32"/>
        </w:rPr>
        <w:t>有关</w:t>
      </w:r>
      <w:r>
        <w:rPr>
          <w:rFonts w:hint="eastAsia" w:ascii="仿宋" w:hAnsi="仿宋" w:eastAsia="仿宋" w:cs="宋体"/>
          <w:color w:val="auto"/>
          <w:sz w:val="32"/>
          <w:szCs w:val="32"/>
          <w:lang w:eastAsia="zh-CN"/>
        </w:rPr>
        <w:t>单位和</w:t>
      </w:r>
      <w:r>
        <w:rPr>
          <w:rFonts w:hint="eastAsia" w:ascii="仿宋" w:hAnsi="仿宋" w:eastAsia="仿宋" w:cs="宋体"/>
          <w:color w:val="auto"/>
          <w:sz w:val="32"/>
          <w:szCs w:val="32"/>
        </w:rPr>
        <w:t>部门应当按照规定及时、准确提供与税费征管相关的行政执法类、公共服务类、市场交易类信息以及保障税费征管需要的其他信息。税务机关应当向有关</w:t>
      </w:r>
      <w:r>
        <w:rPr>
          <w:rFonts w:hint="eastAsia" w:ascii="仿宋" w:hAnsi="仿宋" w:eastAsia="仿宋" w:cs="宋体"/>
          <w:color w:val="auto"/>
          <w:sz w:val="32"/>
          <w:szCs w:val="32"/>
          <w:lang w:eastAsia="zh-CN"/>
        </w:rPr>
        <w:t>单位和</w:t>
      </w:r>
      <w:r>
        <w:rPr>
          <w:rFonts w:hint="eastAsia" w:ascii="仿宋" w:hAnsi="仿宋" w:eastAsia="仿宋" w:cs="宋体"/>
          <w:color w:val="auto"/>
          <w:sz w:val="32"/>
          <w:szCs w:val="32"/>
        </w:rPr>
        <w:t>部门提供</w:t>
      </w:r>
      <w:r>
        <w:rPr>
          <w:rFonts w:hint="eastAsia" w:ascii="仿宋" w:hAnsi="仿宋" w:eastAsia="仿宋" w:cs="宋体"/>
          <w:color w:val="auto"/>
          <w:sz w:val="32"/>
          <w:szCs w:val="32"/>
          <w:lang w:eastAsia="zh-CN"/>
        </w:rPr>
        <w:t>涉税费</w:t>
      </w:r>
      <w:r>
        <w:rPr>
          <w:rFonts w:hint="eastAsia" w:ascii="仿宋" w:hAnsi="仿宋" w:eastAsia="仿宋" w:cs="宋体"/>
          <w:color w:val="auto"/>
          <w:sz w:val="32"/>
          <w:szCs w:val="32"/>
        </w:rPr>
        <w:t>必要信息。</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color w:val="auto"/>
          <w:sz w:val="32"/>
          <w:szCs w:val="32"/>
        </w:rPr>
      </w:pPr>
      <w:r>
        <w:rPr>
          <w:rFonts w:hint="eastAsia" w:ascii="仿宋" w:hAnsi="仿宋" w:eastAsia="仿宋" w:cs="宋体"/>
          <w:color w:val="auto"/>
          <w:sz w:val="32"/>
          <w:szCs w:val="32"/>
          <w:lang w:val="en-US" w:eastAsia="zh-CN"/>
        </w:rPr>
        <w:t>有关单位和部门</w:t>
      </w:r>
      <w:r>
        <w:rPr>
          <w:rFonts w:hint="eastAsia" w:ascii="仿宋" w:hAnsi="仿宋" w:eastAsia="仿宋" w:cs="宋体"/>
          <w:color w:val="auto"/>
          <w:sz w:val="32"/>
          <w:szCs w:val="32"/>
          <w:lang w:eastAsia="zh-CN"/>
        </w:rPr>
        <w:t>应当</w:t>
      </w:r>
      <w:r>
        <w:rPr>
          <w:rFonts w:hint="eastAsia" w:ascii="仿宋" w:hAnsi="仿宋" w:eastAsia="仿宋" w:cs="宋体"/>
          <w:color w:val="auto"/>
          <w:sz w:val="32"/>
          <w:szCs w:val="32"/>
        </w:rPr>
        <w:t>严格履行信息安全管理规定，保障信息安全，不得将涉税信息用于履行法定职责之外的用途。在收集、交换、使用和保管涉税信息时，按照“谁使用，谁管理，谁负责”的原则，对涉税信息涉及的国家秘密、商业秘密、个人隐私予以保密。</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sz w:val="32"/>
          <w:szCs w:val="32"/>
        </w:rPr>
      </w:pPr>
      <w:r>
        <w:rPr>
          <w:rFonts w:hint="eastAsia" w:ascii="仿宋" w:hAnsi="仿宋" w:eastAsia="仿宋" w:cs="宋体"/>
          <w:sz w:val="32"/>
          <w:szCs w:val="32"/>
        </w:rPr>
        <w:t>税务机关及</w:t>
      </w:r>
      <w:r>
        <w:rPr>
          <w:rFonts w:hint="eastAsia" w:ascii="仿宋" w:hAnsi="仿宋" w:eastAsia="仿宋" w:cs="宋体"/>
          <w:color w:val="auto"/>
          <w:sz w:val="32"/>
          <w:szCs w:val="32"/>
        </w:rPr>
        <w:t>有关</w:t>
      </w:r>
      <w:r>
        <w:rPr>
          <w:rFonts w:hint="eastAsia" w:ascii="仿宋" w:hAnsi="仿宋" w:eastAsia="仿宋" w:cs="宋体"/>
          <w:color w:val="auto"/>
          <w:sz w:val="32"/>
          <w:szCs w:val="32"/>
          <w:lang w:eastAsia="zh-CN"/>
        </w:rPr>
        <w:t>单位和</w:t>
      </w:r>
      <w:r>
        <w:rPr>
          <w:rFonts w:hint="eastAsia" w:ascii="仿宋" w:hAnsi="仿宋" w:eastAsia="仿宋" w:cs="宋体"/>
          <w:color w:val="auto"/>
          <w:sz w:val="32"/>
          <w:szCs w:val="32"/>
        </w:rPr>
        <w:t>部门</w:t>
      </w:r>
      <w:r>
        <w:rPr>
          <w:rFonts w:hint="eastAsia" w:ascii="仿宋" w:hAnsi="仿宋" w:eastAsia="仿宋" w:cs="宋体"/>
          <w:sz w:val="32"/>
          <w:szCs w:val="32"/>
        </w:rPr>
        <w:t>应通过</w:t>
      </w:r>
      <w:r>
        <w:rPr>
          <w:rFonts w:hint="eastAsia" w:ascii="仿宋" w:hAnsi="仿宋" w:eastAsia="仿宋" w:cs="宋体"/>
          <w:sz w:val="32"/>
          <w:szCs w:val="32"/>
          <w:lang w:eastAsia="zh-CN"/>
        </w:rPr>
        <w:t>宿迁市一体化政务数据共享交换平台</w:t>
      </w:r>
      <w:r>
        <w:rPr>
          <w:rFonts w:hint="eastAsia" w:ascii="仿宋" w:hAnsi="仿宋" w:eastAsia="仿宋" w:cs="宋体"/>
          <w:sz w:val="32"/>
          <w:szCs w:val="32"/>
        </w:rPr>
        <w:t>开展</w:t>
      </w:r>
      <w:r>
        <w:rPr>
          <w:rFonts w:hint="eastAsia" w:ascii="仿宋" w:hAnsi="仿宋" w:eastAsia="仿宋" w:cs="宋体"/>
          <w:sz w:val="32"/>
          <w:szCs w:val="32"/>
          <w:lang w:eastAsia="zh-CN"/>
        </w:rPr>
        <w:t>涉税费</w:t>
      </w:r>
      <w:r>
        <w:rPr>
          <w:rFonts w:hint="eastAsia" w:ascii="仿宋" w:hAnsi="仿宋" w:eastAsia="仿宋" w:cs="宋体"/>
          <w:sz w:val="32"/>
          <w:szCs w:val="32"/>
        </w:rPr>
        <w:t>信息共享。市大数据</w:t>
      </w:r>
      <w:r>
        <w:rPr>
          <w:rFonts w:hint="eastAsia" w:ascii="仿宋" w:hAnsi="仿宋" w:eastAsia="仿宋" w:cs="宋体"/>
          <w:sz w:val="32"/>
          <w:szCs w:val="32"/>
          <w:lang w:eastAsia="zh-CN"/>
        </w:rPr>
        <w:t>中心</w:t>
      </w:r>
      <w:r>
        <w:rPr>
          <w:rFonts w:hint="eastAsia" w:ascii="仿宋" w:hAnsi="仿宋" w:eastAsia="仿宋" w:cs="宋体"/>
          <w:sz w:val="32"/>
          <w:szCs w:val="32"/>
        </w:rPr>
        <w:t>为</w:t>
      </w:r>
      <w:r>
        <w:rPr>
          <w:rFonts w:hint="eastAsia" w:ascii="仿宋" w:hAnsi="仿宋" w:eastAsia="仿宋" w:cs="宋体"/>
          <w:sz w:val="32"/>
          <w:szCs w:val="32"/>
          <w:lang w:eastAsia="zh-CN"/>
        </w:rPr>
        <w:t>涉税费</w:t>
      </w:r>
      <w:r>
        <w:rPr>
          <w:rFonts w:hint="eastAsia" w:ascii="仿宋" w:hAnsi="仿宋" w:eastAsia="仿宋" w:cs="宋体"/>
          <w:sz w:val="32"/>
          <w:szCs w:val="32"/>
        </w:rPr>
        <w:t>信息共享</w:t>
      </w:r>
      <w:r>
        <w:rPr>
          <w:rFonts w:hint="eastAsia" w:ascii="仿宋" w:hAnsi="仿宋" w:eastAsia="仿宋" w:cs="宋体"/>
          <w:sz w:val="32"/>
          <w:szCs w:val="32"/>
          <w:lang w:eastAsia="zh-CN"/>
        </w:rPr>
        <w:t>提供</w:t>
      </w:r>
      <w:r>
        <w:rPr>
          <w:rFonts w:hint="eastAsia" w:ascii="仿宋" w:hAnsi="仿宋" w:eastAsia="仿宋" w:cs="宋体"/>
          <w:sz w:val="32"/>
          <w:szCs w:val="32"/>
        </w:rPr>
        <w:t>数据支持和规范指导，帮助协调</w:t>
      </w:r>
      <w:r>
        <w:rPr>
          <w:rFonts w:hint="eastAsia" w:ascii="仿宋" w:hAnsi="仿宋" w:eastAsia="仿宋" w:cs="宋体"/>
          <w:sz w:val="32"/>
          <w:szCs w:val="32"/>
          <w:lang w:eastAsia="zh-CN"/>
        </w:rPr>
        <w:t>涉税费</w:t>
      </w:r>
      <w:r>
        <w:rPr>
          <w:rFonts w:hint="eastAsia" w:ascii="仿宋" w:hAnsi="仿宋" w:eastAsia="仿宋" w:cs="宋体"/>
          <w:sz w:val="32"/>
          <w:szCs w:val="32"/>
        </w:rPr>
        <w:t>数据共享事宜。</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color w:val="FF0000"/>
          <w:sz w:val="32"/>
          <w:szCs w:val="32"/>
        </w:rPr>
      </w:pPr>
      <w:r>
        <w:rPr>
          <w:rFonts w:hint="eastAsia" w:ascii="仿宋" w:hAnsi="仿宋" w:eastAsia="仿宋" w:cs="宋体"/>
          <w:sz w:val="32"/>
          <w:szCs w:val="32"/>
          <w:lang w:eastAsia="zh-CN"/>
        </w:rPr>
        <w:t>涉税费</w:t>
      </w:r>
      <w:r>
        <w:rPr>
          <w:rFonts w:hint="eastAsia" w:ascii="仿宋" w:hAnsi="仿宋" w:eastAsia="仿宋" w:cs="宋体"/>
          <w:sz w:val="32"/>
          <w:szCs w:val="32"/>
        </w:rPr>
        <w:t>信息获取实行目录管理，目录由市政府组织制定、修订和发布，县（区）政府可对目录进行补充。</w:t>
      </w:r>
      <w:r>
        <w:rPr>
          <w:rFonts w:hint="eastAsia" w:ascii="仿宋" w:hAnsi="仿宋" w:eastAsia="仿宋" w:cs="宋体"/>
          <w:sz w:val="32"/>
          <w:szCs w:val="32"/>
          <w:lang w:eastAsia="zh-CN"/>
        </w:rPr>
        <w:t>涉税费</w:t>
      </w:r>
      <w:r>
        <w:rPr>
          <w:rFonts w:hint="eastAsia" w:ascii="仿宋" w:hAnsi="仿宋" w:eastAsia="仿宋" w:cs="宋体"/>
          <w:sz w:val="32"/>
          <w:szCs w:val="32"/>
        </w:rPr>
        <w:t>信息获取目录定期修订，原则上每两年修订一次。目录内容需明确涉税信息的名称、字段、频次、来源单位等标准格式。</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sz w:val="32"/>
          <w:szCs w:val="32"/>
        </w:rPr>
      </w:pPr>
      <w:r>
        <w:rPr>
          <w:rFonts w:hint="eastAsia" w:ascii="仿宋" w:hAnsi="仿宋" w:eastAsia="仿宋" w:cs="宋体"/>
          <w:color w:val="auto"/>
          <w:sz w:val="32"/>
          <w:szCs w:val="32"/>
        </w:rPr>
        <w:t>有关</w:t>
      </w:r>
      <w:r>
        <w:rPr>
          <w:rFonts w:hint="eastAsia" w:ascii="仿宋" w:hAnsi="仿宋" w:eastAsia="仿宋" w:cs="宋体"/>
          <w:color w:val="auto"/>
          <w:sz w:val="32"/>
          <w:szCs w:val="32"/>
          <w:lang w:eastAsia="zh-CN"/>
        </w:rPr>
        <w:t>单位和</w:t>
      </w:r>
      <w:r>
        <w:rPr>
          <w:rFonts w:hint="eastAsia" w:ascii="仿宋" w:hAnsi="仿宋" w:eastAsia="仿宋" w:cs="宋体"/>
          <w:color w:val="auto"/>
          <w:sz w:val="32"/>
          <w:szCs w:val="32"/>
        </w:rPr>
        <w:t>部门</w:t>
      </w:r>
      <w:r>
        <w:rPr>
          <w:rFonts w:hint="eastAsia" w:ascii="仿宋" w:hAnsi="仿宋" w:eastAsia="仿宋" w:cs="仿宋"/>
          <w:sz w:val="32"/>
          <w:szCs w:val="32"/>
        </w:rPr>
        <w:t>应当按照职责分工和管理权限，</w:t>
      </w:r>
      <w:r>
        <w:rPr>
          <w:rFonts w:hint="eastAsia" w:ascii="仿宋" w:hAnsi="仿宋" w:eastAsia="仿宋" w:cs="宋体"/>
          <w:sz w:val="32"/>
          <w:szCs w:val="32"/>
        </w:rPr>
        <w:t>通过实时信息查询或者核验、</w:t>
      </w:r>
      <w:r>
        <w:rPr>
          <w:rFonts w:ascii="仿宋" w:hAnsi="仿宋" w:eastAsia="仿宋" w:cs="宋体"/>
          <w:sz w:val="32"/>
          <w:szCs w:val="32"/>
        </w:rPr>
        <w:t>按需提供</w:t>
      </w:r>
      <w:r>
        <w:rPr>
          <w:rFonts w:hint="eastAsia" w:ascii="仿宋" w:hAnsi="仿宋" w:eastAsia="仿宋" w:cs="宋体"/>
          <w:sz w:val="32"/>
          <w:szCs w:val="32"/>
        </w:rPr>
        <w:t>查询、定期</w:t>
      </w:r>
      <w:r>
        <w:rPr>
          <w:rFonts w:ascii="仿宋" w:hAnsi="仿宋" w:eastAsia="仿宋" w:cs="宋体"/>
          <w:sz w:val="32"/>
          <w:szCs w:val="32"/>
        </w:rPr>
        <w:t>提供</w:t>
      </w:r>
      <w:r>
        <w:rPr>
          <w:rFonts w:hint="eastAsia" w:ascii="仿宋" w:hAnsi="仿宋" w:eastAsia="仿宋" w:cs="宋体"/>
          <w:sz w:val="32"/>
          <w:szCs w:val="32"/>
        </w:rPr>
        <w:t>等方式进行共享交换</w:t>
      </w:r>
      <w:r>
        <w:rPr>
          <w:rFonts w:hint="eastAsia" w:ascii="仿宋" w:hAnsi="仿宋" w:eastAsia="仿宋" w:cs="宋体"/>
          <w:sz w:val="32"/>
          <w:szCs w:val="32"/>
          <w:lang w:eastAsia="zh-CN"/>
        </w:rPr>
        <w:t>，并</w:t>
      </w:r>
      <w:r>
        <w:rPr>
          <w:rFonts w:hint="eastAsia" w:ascii="仿宋" w:hAnsi="仿宋" w:eastAsia="仿宋" w:cs="仿宋"/>
          <w:sz w:val="32"/>
          <w:szCs w:val="32"/>
        </w:rPr>
        <w:t>应</w:t>
      </w:r>
      <w:r>
        <w:rPr>
          <w:rFonts w:hint="eastAsia" w:ascii="仿宋" w:hAnsi="仿宋" w:eastAsia="仿宋" w:cs="宋体"/>
          <w:sz w:val="32"/>
          <w:szCs w:val="32"/>
        </w:rPr>
        <w:t>确保数据的准确性、完整性、时效性。</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sz w:val="32"/>
          <w:szCs w:val="32"/>
        </w:rPr>
      </w:pPr>
      <w:r>
        <w:rPr>
          <w:rFonts w:hint="eastAsia" w:ascii="仿宋" w:hAnsi="仿宋" w:eastAsia="仿宋" w:cs="宋体"/>
          <w:color w:val="auto"/>
          <w:sz w:val="32"/>
          <w:szCs w:val="32"/>
          <w:lang w:val="en-US" w:eastAsia="zh-CN"/>
        </w:rPr>
        <w:t>有关单位和部门</w:t>
      </w:r>
      <w:r>
        <w:rPr>
          <w:rFonts w:hint="eastAsia" w:ascii="仿宋" w:hAnsi="仿宋" w:eastAsia="仿宋" w:cs="方正黑体_GBK"/>
          <w:sz w:val="32"/>
          <w:szCs w:val="32"/>
        </w:rPr>
        <w:t>根据职能分工，</w:t>
      </w:r>
      <w:r>
        <w:rPr>
          <w:rFonts w:hint="eastAsia" w:ascii="仿宋" w:hAnsi="仿宋" w:eastAsia="仿宋" w:cs="方正黑体_GBK"/>
          <w:sz w:val="32"/>
          <w:szCs w:val="32"/>
          <w:lang w:eastAsia="zh-CN"/>
        </w:rPr>
        <w:t>应</w:t>
      </w:r>
      <w:r>
        <w:rPr>
          <w:rFonts w:hint="eastAsia" w:ascii="仿宋" w:hAnsi="仿宋" w:eastAsia="仿宋" w:cs="方正黑体_GBK"/>
          <w:sz w:val="32"/>
          <w:szCs w:val="32"/>
        </w:rPr>
        <w:t>提供以下</w:t>
      </w:r>
      <w:r>
        <w:rPr>
          <w:rFonts w:hint="eastAsia" w:ascii="仿宋" w:hAnsi="仿宋" w:eastAsia="仿宋" w:cs="宋体"/>
          <w:sz w:val="32"/>
          <w:szCs w:val="32"/>
          <w:lang w:eastAsia="zh-CN"/>
        </w:rPr>
        <w:t>涉税费</w:t>
      </w:r>
      <w:r>
        <w:rPr>
          <w:rFonts w:ascii="仿宋" w:hAnsi="仿宋" w:eastAsia="仿宋" w:cs="宋体"/>
          <w:sz w:val="32"/>
          <w:szCs w:val="32"/>
        </w:rPr>
        <w:t>信息</w:t>
      </w:r>
      <w:r>
        <w:rPr>
          <w:rFonts w:hint="eastAsia" w:ascii="仿宋" w:hAnsi="仿宋" w:eastAsia="仿宋" w:cs="方正黑体_GBK"/>
          <w:sz w:val="32"/>
          <w:szCs w:val="32"/>
        </w:rPr>
        <w:t>：</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cs="宋体"/>
          <w:b w:val="0"/>
          <w:bCs w:val="0"/>
          <w:color w:val="auto"/>
          <w:sz w:val="32"/>
          <w:szCs w:val="32"/>
        </w:rPr>
      </w:pPr>
      <w:r>
        <w:rPr>
          <w:rFonts w:hint="eastAsia" w:ascii="仿宋" w:hAnsi="仿宋" w:eastAsia="仿宋"/>
          <w:b w:val="0"/>
          <w:bCs w:val="0"/>
          <w:color w:val="auto"/>
          <w:sz w:val="32"/>
          <w:szCs w:val="32"/>
          <w:lang w:val="en-US" w:eastAsia="zh-CN"/>
        </w:rPr>
        <w:t>发展改革委</w:t>
      </w:r>
      <w:r>
        <w:rPr>
          <w:rFonts w:hint="eastAsia" w:ascii="仿宋" w:hAnsi="仿宋" w:eastAsia="仿宋"/>
          <w:b w:val="0"/>
          <w:bCs w:val="0"/>
          <w:color w:val="auto"/>
          <w:sz w:val="32"/>
          <w:szCs w:val="32"/>
        </w:rPr>
        <w:t>：提</w:t>
      </w:r>
      <w:r>
        <w:rPr>
          <w:rFonts w:hint="eastAsia" w:ascii="仿宋" w:hAnsi="仿宋" w:eastAsia="仿宋" w:cs="宋体"/>
          <w:b w:val="0"/>
          <w:bCs w:val="0"/>
          <w:color w:val="auto"/>
          <w:sz w:val="32"/>
          <w:szCs w:val="32"/>
        </w:rPr>
        <w:t>供投资、产业，政府招标投标，建设资金投入、工程款拨付、企业投资项目备案（含企业对境外投资项目备案）信息；提供建筑工程项目（房地产开发项目）立项信息；</w:t>
      </w:r>
      <w:r>
        <w:rPr>
          <w:rFonts w:hint="eastAsia" w:ascii="仿宋" w:hAnsi="仿宋" w:eastAsia="仿宋"/>
          <w:b w:val="0"/>
          <w:bCs w:val="0"/>
          <w:color w:val="auto"/>
          <w:sz w:val="32"/>
          <w:szCs w:val="32"/>
          <w:highlight w:val="none"/>
        </w:rPr>
        <w:t>各类保障性住房审批信息；</w:t>
      </w:r>
      <w:r>
        <w:rPr>
          <w:rFonts w:hint="eastAsia" w:ascii="仿宋" w:hAnsi="仿宋" w:eastAsia="仿宋" w:cs="宋体"/>
          <w:b w:val="0"/>
          <w:bCs w:val="0"/>
          <w:color w:val="auto"/>
          <w:sz w:val="32"/>
          <w:szCs w:val="32"/>
        </w:rPr>
        <w:t>提供成品油生产企业项目核准、备案和变更等信息；</w:t>
      </w:r>
      <w:r>
        <w:rPr>
          <w:rFonts w:hint="eastAsia" w:ascii="仿宋" w:hAnsi="仿宋" w:eastAsia="仿宋"/>
          <w:b w:val="0"/>
          <w:bCs w:val="0"/>
          <w:color w:val="auto"/>
          <w:sz w:val="32"/>
          <w:szCs w:val="32"/>
        </w:rPr>
        <w:t>石油开采立项审批信息；</w:t>
      </w:r>
      <w:r>
        <w:rPr>
          <w:rFonts w:hint="eastAsia" w:ascii="仿宋" w:hAnsi="仿宋" w:eastAsia="仿宋" w:cs="宋体"/>
          <w:b w:val="0"/>
          <w:bCs w:val="0"/>
          <w:color w:val="auto"/>
          <w:sz w:val="32"/>
          <w:szCs w:val="32"/>
          <w:highlight w:val="none"/>
        </w:rPr>
        <w:t>按季提供公益性收费、经营服务性收费项目及收费标准调整情况等信息；</w:t>
      </w:r>
      <w:r>
        <w:rPr>
          <w:rFonts w:hint="eastAsia" w:ascii="仿宋" w:hAnsi="仿宋" w:eastAsia="仿宋"/>
          <w:b w:val="0"/>
          <w:bCs w:val="0"/>
          <w:color w:val="auto"/>
          <w:sz w:val="32"/>
          <w:szCs w:val="32"/>
        </w:rPr>
        <w:t>发电企业立项审批信息，企业自备电厂立项审批信息；成品油生产、委托加工审批信息；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cs="宋体"/>
          <w:b w:val="0"/>
          <w:bCs w:val="0"/>
          <w:color w:val="auto"/>
          <w:sz w:val="32"/>
          <w:szCs w:val="32"/>
          <w:highlight w:val="none"/>
          <w:lang w:eastAsia="zh-CN"/>
        </w:rPr>
      </w:pPr>
      <w:r>
        <w:rPr>
          <w:rFonts w:hint="eastAsia" w:ascii="仿宋" w:hAnsi="仿宋" w:eastAsia="仿宋" w:cs="宋体"/>
          <w:b w:val="0"/>
          <w:bCs w:val="0"/>
          <w:color w:val="auto"/>
          <w:sz w:val="32"/>
          <w:szCs w:val="32"/>
        </w:rPr>
        <w:t>教育局：提供自然人学籍考籍，技能人员、专业技术人员职业资格和继续教育等信息；</w:t>
      </w:r>
      <w:r>
        <w:rPr>
          <w:rFonts w:hint="eastAsia" w:ascii="仿宋" w:hAnsi="仿宋" w:eastAsia="仿宋" w:cs="宋体"/>
          <w:b w:val="0"/>
          <w:bCs w:val="0"/>
          <w:color w:val="auto"/>
          <w:sz w:val="32"/>
          <w:szCs w:val="32"/>
          <w:highlight w:val="none"/>
        </w:rPr>
        <w:t>提供各类办学机构的年审信息；</w:t>
      </w:r>
      <w:r>
        <w:rPr>
          <w:rFonts w:hint="eastAsia" w:ascii="仿宋" w:hAnsi="仿宋" w:eastAsia="仿宋"/>
          <w:b w:val="0"/>
          <w:bCs w:val="0"/>
          <w:color w:val="auto"/>
          <w:sz w:val="32"/>
          <w:szCs w:val="32"/>
          <w:highlight w:val="none"/>
        </w:rPr>
        <w:t>校园安全工程审批信息；产教融合企业信息；普通高中、义务教育阶段、学前教育阶段学校名单；</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cs="宋体"/>
          <w:b w:val="0"/>
          <w:bCs w:val="0"/>
          <w:i w:val="0"/>
          <w:iCs w:val="0"/>
          <w:color w:val="auto"/>
          <w:sz w:val="32"/>
          <w:szCs w:val="32"/>
        </w:rPr>
      </w:pPr>
      <w:r>
        <w:rPr>
          <w:rFonts w:hint="eastAsia" w:ascii="仿宋" w:hAnsi="仿宋" w:eastAsia="仿宋" w:cs="宋体"/>
          <w:b w:val="0"/>
          <w:bCs w:val="0"/>
          <w:color w:val="auto"/>
          <w:sz w:val="32"/>
          <w:szCs w:val="32"/>
        </w:rPr>
        <w:t>科技局：</w:t>
      </w:r>
      <w:r>
        <w:rPr>
          <w:rFonts w:hint="eastAsia" w:ascii="仿宋" w:hAnsi="仿宋" w:eastAsia="仿宋"/>
          <w:b w:val="0"/>
          <w:bCs w:val="0"/>
          <w:color w:val="auto"/>
          <w:sz w:val="32"/>
          <w:szCs w:val="32"/>
          <w:highlight w:val="none"/>
        </w:rPr>
        <w:t>提供省级以上孵化器、大学科技园、国家备案众创空间等信息；提供科技政策奖励信息、市级科技计划项目信息；提供技术先进型服务企业、高新技术企业、科技型中小企业等信息。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cs="宋体"/>
          <w:b w:val="0"/>
          <w:bCs w:val="0"/>
          <w:color w:val="auto"/>
          <w:sz w:val="32"/>
          <w:szCs w:val="32"/>
          <w:highlight w:val="none"/>
        </w:rPr>
      </w:pPr>
      <w:r>
        <w:rPr>
          <w:rFonts w:hint="eastAsia" w:ascii="仿宋" w:hAnsi="仿宋" w:eastAsia="仿宋" w:cs="宋体"/>
          <w:b w:val="0"/>
          <w:bCs w:val="0"/>
          <w:color w:val="auto"/>
          <w:sz w:val="32"/>
          <w:szCs w:val="32"/>
        </w:rPr>
        <w:t>工业和信息化局：提供投资、产业，政府招标投标，建设资金投入、工程款拨付、企业投资项目备案信息；提供企业自备电厂等信息；提供工业企业评级信息；</w:t>
      </w:r>
      <w:r>
        <w:rPr>
          <w:rFonts w:hint="eastAsia" w:ascii="仿宋" w:hAnsi="仿宋" w:eastAsia="仿宋" w:cs="宋体"/>
          <w:b w:val="0"/>
          <w:bCs w:val="0"/>
          <w:color w:val="auto"/>
          <w:sz w:val="32"/>
          <w:szCs w:val="32"/>
          <w:highlight w:val="none"/>
        </w:rPr>
        <w:t>提供工业固体废物综合利用量及相关资料等信息；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cs="宋体"/>
          <w:b w:val="0"/>
          <w:bCs w:val="0"/>
          <w:color w:val="auto"/>
          <w:sz w:val="32"/>
          <w:szCs w:val="32"/>
        </w:rPr>
        <w:t>公安局：实时核验纳税人缴费人人口信息；提供纳税人缴费人或者有关涉案人员联系电话、居住情况、家庭户籍情况、出入境情况等信息；提供个人所得税专项附加扣除信息；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cs="宋体"/>
          <w:b w:val="0"/>
          <w:bCs w:val="0"/>
          <w:color w:val="auto"/>
          <w:sz w:val="32"/>
          <w:szCs w:val="32"/>
        </w:rPr>
      </w:pPr>
      <w:r>
        <w:rPr>
          <w:rFonts w:hint="eastAsia" w:ascii="仿宋" w:hAnsi="仿宋" w:eastAsia="仿宋"/>
          <w:b w:val="0"/>
          <w:bCs w:val="0"/>
          <w:color w:val="auto"/>
          <w:sz w:val="32"/>
          <w:szCs w:val="32"/>
        </w:rPr>
        <w:t>司法局：实时共享社会组织等登记信息及司法涉案</w:t>
      </w:r>
      <w:r>
        <w:rPr>
          <w:rFonts w:hint="eastAsia" w:ascii="仿宋" w:hAnsi="仿宋" w:eastAsia="仿宋" w:cs="宋体"/>
          <w:b w:val="0"/>
          <w:bCs w:val="0"/>
          <w:color w:val="auto"/>
          <w:sz w:val="32"/>
          <w:szCs w:val="32"/>
        </w:rPr>
        <w:t>信息；提供律师事务所、公证处执业证书发放等信息；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cs="宋体"/>
          <w:b w:val="0"/>
          <w:bCs w:val="0"/>
          <w:color w:val="auto"/>
          <w:sz w:val="32"/>
          <w:szCs w:val="32"/>
        </w:rPr>
      </w:pPr>
      <w:r>
        <w:rPr>
          <w:rFonts w:hint="eastAsia" w:ascii="仿宋" w:hAnsi="仿宋" w:eastAsia="仿宋" w:cs="宋体"/>
          <w:b w:val="0"/>
          <w:bCs w:val="0"/>
          <w:color w:val="auto"/>
          <w:sz w:val="32"/>
          <w:szCs w:val="32"/>
        </w:rPr>
        <w:t>民政局：实时共享企业事业单位、社会组织等登记信息；实时提供婚姻状况等信息；低保户信息、社会福利机构信息；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cs="宋体"/>
          <w:b w:val="0"/>
          <w:bCs w:val="0"/>
          <w:color w:val="auto"/>
          <w:sz w:val="32"/>
          <w:szCs w:val="32"/>
        </w:rPr>
      </w:pPr>
      <w:r>
        <w:rPr>
          <w:rFonts w:hint="eastAsia" w:ascii="仿宋" w:hAnsi="仿宋" w:eastAsia="仿宋" w:cs="宋体"/>
          <w:b w:val="0"/>
          <w:bCs w:val="0"/>
          <w:color w:val="auto"/>
          <w:sz w:val="32"/>
          <w:szCs w:val="32"/>
        </w:rPr>
        <w:t>财政局：提供给予的财政性资金、行政奖励、优惠等信息；财政拨款单位残保金年度预算；</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highlight w:val="none"/>
        </w:rPr>
      </w:pPr>
      <w:r>
        <w:rPr>
          <w:rFonts w:hint="eastAsia" w:ascii="仿宋" w:hAnsi="仿宋" w:eastAsia="仿宋" w:cs="宋体"/>
          <w:b w:val="0"/>
          <w:bCs w:val="0"/>
          <w:color w:val="auto"/>
          <w:sz w:val="32"/>
          <w:szCs w:val="32"/>
        </w:rPr>
        <w:t>人力资源社会保障局：实时共享企业事业单位、社会组织等登记信息；提供企业劳务派遣经营许可，自然人就业、创业、失业登记等信息；提供自然人学籍考籍，技能人员、专业技术人员职业资格和继续教育等信息；</w:t>
      </w:r>
      <w:r>
        <w:rPr>
          <w:rFonts w:hint="eastAsia" w:ascii="仿宋" w:hAnsi="仿宋" w:eastAsia="仿宋" w:cs="宋体"/>
          <w:b w:val="0"/>
          <w:bCs w:val="0"/>
          <w:color w:val="auto"/>
          <w:sz w:val="32"/>
          <w:szCs w:val="32"/>
          <w:highlight w:val="none"/>
        </w:rPr>
        <w:t>及时共享参保登记的新增、变更、终止等信息；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cs="宋体"/>
          <w:b w:val="0"/>
          <w:bCs w:val="0"/>
          <w:color w:val="auto"/>
          <w:sz w:val="32"/>
          <w:szCs w:val="32"/>
        </w:rPr>
      </w:pPr>
      <w:r>
        <w:rPr>
          <w:rFonts w:hint="eastAsia" w:ascii="仿宋" w:hAnsi="仿宋" w:eastAsia="仿宋" w:cs="宋体"/>
          <w:b w:val="0"/>
          <w:bCs w:val="0"/>
          <w:color w:val="auto"/>
          <w:sz w:val="32"/>
          <w:szCs w:val="32"/>
        </w:rPr>
        <w:t>自然资源和规划局：在办理涉税不动产登记时，向税务机关实时传递统一受理的不动产登记申请、办税信息；按不动产单元码提供不动产登记及空间地理信息；提供宗地地籍数据信息、土地出让或划拨信息；自然资源权属确权或者权属纠纷裁决，收回国有土地使用权等信息；</w:t>
      </w:r>
      <w:r>
        <w:rPr>
          <w:rFonts w:hint="eastAsia" w:ascii="仿宋" w:hAnsi="仿宋" w:eastAsia="仿宋"/>
          <w:b w:val="0"/>
          <w:bCs w:val="0"/>
          <w:color w:val="auto"/>
          <w:sz w:val="32"/>
          <w:szCs w:val="32"/>
        </w:rPr>
        <w:t>建设项目规划许可信息、建设项目规划核实验收信息；国有土地使用权出让信息，补缴土地使用权出让收入信息；矿产资源专项收入信息；</w:t>
      </w:r>
      <w:r>
        <w:rPr>
          <w:rFonts w:hint="eastAsia" w:ascii="仿宋" w:hAnsi="仿宋" w:eastAsia="仿宋"/>
          <w:b w:val="0"/>
          <w:bCs w:val="0"/>
          <w:color w:val="auto"/>
          <w:sz w:val="32"/>
          <w:szCs w:val="32"/>
          <w:highlight w:val="none"/>
        </w:rPr>
        <w:t>土地闲置费核定的费源信息；</w:t>
      </w:r>
      <w:r>
        <w:rPr>
          <w:rFonts w:hint="eastAsia" w:ascii="仿宋" w:hAnsi="仿宋" w:eastAsia="仿宋" w:cs="宋体"/>
          <w:b w:val="0"/>
          <w:bCs w:val="0"/>
          <w:color w:val="auto"/>
          <w:sz w:val="32"/>
          <w:szCs w:val="32"/>
        </w:rPr>
        <w:t>按耕地占用税法及实施办法相关规定，提供农用地转用、临时占地、未批先占、改变原占地用途、土地复垦等信息；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cs="宋体"/>
          <w:b w:val="0"/>
          <w:bCs w:val="0"/>
          <w:color w:val="auto"/>
          <w:sz w:val="32"/>
          <w:szCs w:val="32"/>
        </w:rPr>
      </w:pPr>
      <w:r>
        <w:rPr>
          <w:rFonts w:hint="eastAsia" w:ascii="仿宋" w:hAnsi="仿宋" w:eastAsia="仿宋" w:cs="宋体"/>
          <w:b w:val="0"/>
          <w:bCs w:val="0"/>
          <w:color w:val="auto"/>
          <w:sz w:val="32"/>
          <w:szCs w:val="32"/>
        </w:rPr>
        <w:t>生态环境局：提供危险废物经营许可信息；提供排污单位的排污许可、污染物排放数据、环境违法、土壤污染和行政处罚等信息；</w:t>
      </w:r>
      <w:r>
        <w:rPr>
          <w:rFonts w:hint="eastAsia" w:ascii="仿宋" w:hAnsi="仿宋" w:eastAsia="仿宋"/>
          <w:b w:val="0"/>
          <w:bCs w:val="0"/>
          <w:color w:val="auto"/>
          <w:sz w:val="32"/>
          <w:szCs w:val="32"/>
          <w:highlight w:val="none"/>
        </w:rPr>
        <w:t>排污权出让信息；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cs="宋体"/>
          <w:b w:val="0"/>
          <w:bCs w:val="0"/>
          <w:color w:val="auto"/>
          <w:sz w:val="32"/>
          <w:szCs w:val="32"/>
        </w:rPr>
      </w:pPr>
      <w:r>
        <w:rPr>
          <w:rFonts w:hint="eastAsia" w:ascii="仿宋" w:hAnsi="仿宋" w:eastAsia="仿宋" w:cs="宋体"/>
          <w:b w:val="0"/>
          <w:bCs w:val="0"/>
          <w:color w:val="auto"/>
          <w:sz w:val="32"/>
          <w:szCs w:val="32"/>
        </w:rPr>
        <w:t>住房和城乡建设局：实时提供新建商品房销售、存量房交易、商品房屋租赁等合同网签备案等信息；</w:t>
      </w:r>
      <w:r>
        <w:rPr>
          <w:rFonts w:hint="eastAsia" w:ascii="仿宋" w:hAnsi="仿宋" w:eastAsia="仿宋" w:cs="宋体"/>
          <w:b w:val="0"/>
          <w:bCs w:val="0"/>
          <w:color w:val="auto"/>
          <w:sz w:val="32"/>
          <w:szCs w:val="32"/>
          <w:lang w:eastAsia="zh-CN"/>
        </w:rPr>
        <w:t>提供</w:t>
      </w:r>
      <w:r>
        <w:rPr>
          <w:rFonts w:hint="eastAsia" w:ascii="仿宋" w:hAnsi="仿宋" w:eastAsia="仿宋" w:cs="宋体"/>
          <w:b w:val="0"/>
          <w:bCs w:val="0"/>
          <w:color w:val="auto"/>
          <w:sz w:val="32"/>
          <w:szCs w:val="32"/>
          <w:lang w:val="en-US" w:eastAsia="zh-CN"/>
        </w:rPr>
        <w:t>住房租赁企业、专业化规模化住房租赁企业名单以及保障性租赁住房项目认定书等信息；</w:t>
      </w:r>
      <w:r>
        <w:rPr>
          <w:rFonts w:hint="eastAsia" w:ascii="仿宋" w:hAnsi="仿宋" w:eastAsia="仿宋" w:cs="宋体"/>
          <w:b w:val="0"/>
          <w:bCs w:val="0"/>
          <w:color w:val="auto"/>
          <w:sz w:val="32"/>
          <w:szCs w:val="32"/>
        </w:rPr>
        <w:t>提供房地产开发项目商品房预售许可证及房源明细表、销售网签明细、保障房项目、房地产市场成交情况统计表、</w:t>
      </w:r>
      <w:r>
        <w:rPr>
          <w:rFonts w:hint="eastAsia" w:ascii="仿宋" w:hAnsi="仿宋" w:eastAsia="仿宋" w:cs="宋体"/>
          <w:b w:val="0"/>
          <w:bCs w:val="0"/>
          <w:color w:val="auto"/>
          <w:sz w:val="32"/>
          <w:szCs w:val="32"/>
          <w:highlight w:val="none"/>
        </w:rPr>
        <w:t>资金监管等</w:t>
      </w:r>
      <w:r>
        <w:rPr>
          <w:rFonts w:hint="eastAsia" w:ascii="仿宋" w:hAnsi="仿宋" w:eastAsia="仿宋" w:cs="宋体"/>
          <w:b w:val="0"/>
          <w:bCs w:val="0"/>
          <w:color w:val="auto"/>
          <w:sz w:val="32"/>
          <w:szCs w:val="32"/>
        </w:rPr>
        <w:t>信息；提供施工许可、竣工验收备案、扬尘管控等信息；提供给予的财政性资金、行政奖励、优惠、房屋征收与补偿标准等信息；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rPr>
        <w:t>交通运输局：提供车辆船舶登记以及营运证的发放、变更、注销和检验，城市公共交通管理部门与城市公交企业名录等信息；</w:t>
      </w:r>
      <w:r>
        <w:rPr>
          <w:rFonts w:hint="eastAsia" w:ascii="仿宋" w:hAnsi="仿宋" w:eastAsia="仿宋"/>
          <w:b w:val="0"/>
          <w:bCs w:val="0"/>
          <w:color w:val="auto"/>
          <w:sz w:val="32"/>
          <w:szCs w:val="32"/>
          <w:highlight w:val="none"/>
        </w:rPr>
        <w:t>提供交通建设项目信息；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水利局：提供取水许可证发放，生产建设项目水土保持方案行政许可、水土保持补偿费核定的费源信息，各类水利工程及其配套和附属工程的建筑物、构筑物占压地和经批准的管理范围用地，地热水、矿泉水以及其他应纳税的取用水户取水量的申报复核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cs="宋体"/>
          <w:b w:val="0"/>
          <w:bCs w:val="0"/>
          <w:color w:val="auto"/>
          <w:sz w:val="32"/>
          <w:szCs w:val="32"/>
        </w:rPr>
      </w:pPr>
      <w:r>
        <w:rPr>
          <w:rFonts w:hint="eastAsia" w:ascii="仿宋" w:hAnsi="仿宋" w:eastAsia="仿宋"/>
          <w:b w:val="0"/>
          <w:bCs w:val="0"/>
          <w:color w:val="auto"/>
          <w:sz w:val="32"/>
          <w:szCs w:val="32"/>
        </w:rPr>
        <w:t>农业农村局：实时共享企业事业单位、社会组织等登记信息；提供渔业养殖权证发放等信息；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cs="宋体"/>
          <w:b w:val="0"/>
          <w:bCs w:val="0"/>
          <w:color w:val="auto"/>
          <w:sz w:val="32"/>
          <w:szCs w:val="32"/>
        </w:rPr>
        <w:t>商务局：提供再生资源回收经营者备案，报废机动车回收拆解企业资质认定信息；提供跨境交易、股权转让、资本募集、证券投资等信息；提供成品油流通管理相关信息；提供企业对境外投资、对境外承包工程、对境外提供劳务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文化广电和旅游局：提供营业性演出等信息；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卫生健康委员会：实时提供出生医学证明等信息；</w:t>
      </w:r>
      <w:r>
        <w:rPr>
          <w:rFonts w:hint="eastAsia" w:ascii="仿宋" w:hAnsi="仿宋" w:eastAsia="仿宋"/>
          <w:b w:val="0"/>
          <w:bCs w:val="0"/>
          <w:color w:val="auto"/>
          <w:sz w:val="32"/>
          <w:szCs w:val="32"/>
          <w:highlight w:val="none"/>
        </w:rPr>
        <w:t>提供医疗机构执业新增、变更、注销登记，营利性和非营利性医疗机构的核定及医疗工作者等信息；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lang w:eastAsia="zh-CN"/>
        </w:rPr>
        <w:t>行政审批局：</w:t>
      </w:r>
      <w:r>
        <w:rPr>
          <w:rFonts w:hint="eastAsia" w:ascii="仿宋" w:hAnsi="仿宋" w:eastAsia="仿宋"/>
          <w:b w:val="0"/>
          <w:bCs w:val="0"/>
          <w:color w:val="auto"/>
          <w:sz w:val="32"/>
          <w:szCs w:val="32"/>
          <w:highlight w:val="none"/>
        </w:rPr>
        <w:t>提供建筑施工工程许可信息，药品经营许可证发放信息，政府集中招标采购项目相关信息。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退役军人事务局：提供自主就业创业退役士兵等信息；重点优抚对象家庭信息；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应急管理局：提供应税矿产企业发生的意外事故、自然灾害以及相关重大损失等信息；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cs="宋体"/>
          <w:b w:val="0"/>
          <w:bCs w:val="0"/>
          <w:color w:val="auto"/>
          <w:sz w:val="32"/>
          <w:szCs w:val="32"/>
        </w:rPr>
      </w:pPr>
      <w:r>
        <w:rPr>
          <w:rFonts w:hint="eastAsia" w:ascii="仿宋" w:hAnsi="仿宋" w:eastAsia="仿宋"/>
          <w:b w:val="0"/>
          <w:bCs w:val="0"/>
          <w:color w:val="auto"/>
          <w:sz w:val="32"/>
          <w:szCs w:val="32"/>
        </w:rPr>
        <w:t>市场监督管理局：实时共享企业事业单位、社会组织等登记信息；提供股权转让、资本募集、证券投资等信息；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体育局：提供体育比赛等信息；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cs="宋体"/>
          <w:b w:val="0"/>
          <w:bCs w:val="0"/>
          <w:color w:val="auto"/>
          <w:sz w:val="32"/>
          <w:szCs w:val="32"/>
        </w:rPr>
        <w:t>医疗保障局：实时共享企业事业单位、社会组织等登记信息；提供在医疗保障信息系统记录的个人负担医药费用等信息；</w:t>
      </w:r>
      <w:r>
        <w:rPr>
          <w:rFonts w:hint="eastAsia" w:ascii="仿宋" w:hAnsi="仿宋" w:eastAsia="仿宋" w:cs="宋体"/>
          <w:b w:val="0"/>
          <w:bCs w:val="0"/>
          <w:color w:val="auto"/>
          <w:sz w:val="32"/>
          <w:szCs w:val="32"/>
          <w:highlight w:val="none"/>
        </w:rPr>
        <w:t>及时共享参保登记的新增、变更、终止等信息；</w:t>
      </w:r>
      <w:r>
        <w:rPr>
          <w:rFonts w:hint="eastAsia" w:ascii="仿宋" w:hAnsi="仿宋" w:eastAsia="仿宋" w:cs="宋体"/>
          <w:b w:val="0"/>
          <w:bCs w:val="0"/>
          <w:color w:val="auto"/>
          <w:sz w:val="32"/>
          <w:szCs w:val="32"/>
        </w:rPr>
        <w:t>提供个人所得税专项附加有关大病医疗专项附加扣除信息；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rPr>
        <w:t>地方金融监督管理局：提供金融服务许可、跨境交易、股权转让、资本募集、证券投资等信息；提供企业境外上市信息；提供上市后备企业、辅导期拟上市企业、已申报拟上市企业、已挂牌上市企业等信息；提供上市公司限售股解禁信息；</w:t>
      </w:r>
      <w:r>
        <w:rPr>
          <w:rFonts w:hint="eastAsia" w:ascii="仿宋" w:hAnsi="仿宋" w:eastAsia="仿宋"/>
          <w:b w:val="0"/>
          <w:bCs w:val="0"/>
          <w:color w:val="auto"/>
          <w:sz w:val="32"/>
          <w:szCs w:val="32"/>
          <w:highlight w:val="none"/>
          <w:lang w:eastAsia="zh-CN"/>
        </w:rPr>
        <w:t>按需</w:t>
      </w:r>
      <w:r>
        <w:rPr>
          <w:rFonts w:hint="eastAsia" w:ascii="仿宋" w:hAnsi="仿宋" w:eastAsia="仿宋"/>
          <w:b w:val="0"/>
          <w:bCs w:val="0"/>
          <w:color w:val="auto"/>
          <w:sz w:val="32"/>
          <w:szCs w:val="32"/>
          <w:highlight w:val="none"/>
        </w:rPr>
        <w:t>提供住房商业贷款还款支出信息；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rPr>
        <w:t>宿迁海关：</w:t>
      </w:r>
      <w:r>
        <w:rPr>
          <w:rFonts w:hint="eastAsia" w:ascii="仿宋" w:hAnsi="仿宋" w:eastAsia="仿宋"/>
          <w:b w:val="0"/>
          <w:bCs w:val="0"/>
          <w:color w:val="auto"/>
          <w:sz w:val="32"/>
          <w:szCs w:val="32"/>
          <w:highlight w:val="none"/>
        </w:rPr>
        <w:t>提供海关收发货人进出口货物信息；提供进口汽、柴油的成品油进口信息；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人民银行</w:t>
      </w:r>
      <w:r>
        <w:rPr>
          <w:rFonts w:hint="eastAsia" w:ascii="仿宋" w:hAnsi="仿宋" w:eastAsia="仿宋"/>
          <w:b w:val="0"/>
          <w:bCs w:val="0"/>
          <w:color w:val="auto"/>
          <w:sz w:val="32"/>
          <w:szCs w:val="32"/>
          <w:highlight w:val="none"/>
        </w:rPr>
        <w:t xml:space="preserve">：提供税收、社会保险费和非税收入入库流水及收入报表信息； </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住房公积金管理中心：提供住房公积金贷款还款支出等信息；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知识产权局：提供技术改造、专利转让登记以及其他技术转让，省级以上孵化器、大学科技园、国家备案众创空间等信息；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rPr>
        <w:t>人民防空办公室：提供房地产项目中依法配建的防空地下室行政许可以及竣工验收信息；提供人防易地建设费的收费依据、实际收费及退还等信息；</w:t>
      </w:r>
      <w:r>
        <w:rPr>
          <w:rFonts w:hint="eastAsia" w:ascii="仿宋" w:hAnsi="仿宋" w:eastAsia="仿宋"/>
          <w:b w:val="0"/>
          <w:bCs w:val="0"/>
          <w:color w:val="auto"/>
          <w:sz w:val="32"/>
          <w:szCs w:val="32"/>
          <w:highlight w:val="none"/>
        </w:rPr>
        <w:t>防空地下室易地建设费核定的费源信息；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银行等金融机构：提供纳税人缴费人、扣缴义务人或者社会保险费欠费的用人单位在银行或者其他金融机构的存款账户开设情况；提供个人所得税专项附加扣除有关住房商业贷款还款支出信息；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rPr>
        <w:t>红十字会：</w:t>
      </w:r>
      <w:r>
        <w:rPr>
          <w:rFonts w:hint="eastAsia" w:ascii="仿宋" w:hAnsi="仿宋" w:eastAsia="仿宋"/>
          <w:b w:val="0"/>
          <w:bCs w:val="0"/>
          <w:color w:val="auto"/>
          <w:sz w:val="32"/>
          <w:szCs w:val="32"/>
          <w:highlight w:val="none"/>
        </w:rPr>
        <w:t>提供红十字会捐赠信息；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lang w:eastAsia="zh-CN"/>
        </w:rPr>
        <w:t>宿迁石油昆仑燃气有限公司</w:t>
      </w:r>
      <w:r>
        <w:rPr>
          <w:rFonts w:hint="eastAsia" w:ascii="仿宋" w:hAnsi="仿宋" w:eastAsia="仿宋"/>
          <w:b w:val="0"/>
          <w:bCs w:val="0"/>
          <w:color w:val="auto"/>
          <w:sz w:val="32"/>
          <w:szCs w:val="32"/>
        </w:rPr>
        <w:t>：提供从事生产、经营的纳税人缴费人用气信息；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lang w:eastAsia="zh-CN"/>
        </w:rPr>
        <w:t>国网宿迁</w:t>
      </w:r>
      <w:r>
        <w:rPr>
          <w:rFonts w:hint="eastAsia" w:ascii="仿宋" w:hAnsi="仿宋" w:eastAsia="仿宋"/>
          <w:b w:val="0"/>
          <w:bCs w:val="0"/>
          <w:color w:val="auto"/>
          <w:sz w:val="32"/>
          <w:szCs w:val="32"/>
        </w:rPr>
        <w:t>供电公司：提供从事生产、经营的纳税人缴费人用电信息；</w:t>
      </w:r>
      <w:r>
        <w:rPr>
          <w:rFonts w:hint="eastAsia" w:ascii="仿宋" w:hAnsi="仿宋" w:eastAsia="仿宋"/>
          <w:b w:val="0"/>
          <w:bCs w:val="0"/>
          <w:color w:val="auto"/>
          <w:sz w:val="32"/>
          <w:szCs w:val="32"/>
          <w:highlight w:val="none"/>
        </w:rPr>
        <w:t>提供发电企业上网电量、自用电量，代收相关费款；</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lang w:eastAsia="zh-CN"/>
        </w:rPr>
        <w:t>江苏联合水务科技股份有限公司宿迁供</w:t>
      </w:r>
      <w:r>
        <w:rPr>
          <w:rFonts w:hint="eastAsia" w:ascii="仿宋" w:hAnsi="仿宋" w:eastAsia="仿宋"/>
          <w:b w:val="0"/>
          <w:bCs w:val="0"/>
          <w:color w:val="auto"/>
          <w:sz w:val="32"/>
          <w:szCs w:val="32"/>
        </w:rPr>
        <w:t>水公司：提供从事生产、经营的纳税人缴费人用水信息；</w:t>
      </w:r>
    </w:p>
    <w:p>
      <w:pPr>
        <w:numPr>
          <w:ilvl w:val="0"/>
          <w:numId w:val="3"/>
        </w:numPr>
        <w:tabs>
          <w:tab w:val="left" w:pos="0"/>
        </w:tabs>
        <w:autoSpaceDE/>
        <w:autoSpaceDN/>
        <w:adjustRightInd w:val="0"/>
        <w:snapToGrid/>
        <w:spacing w:line="600" w:lineRule="exact"/>
        <w:ind w:left="0" w:leftChars="0" w:firstLine="640" w:firstLineChars="200"/>
        <w:rPr>
          <w:rFonts w:ascii="仿宋" w:hAnsi="仿宋" w:eastAsia="仿宋"/>
          <w:b w:val="0"/>
          <w:bCs w:val="0"/>
          <w:color w:val="auto"/>
          <w:sz w:val="32"/>
          <w:szCs w:val="32"/>
        </w:rPr>
      </w:pPr>
      <w:r>
        <w:rPr>
          <w:rFonts w:hint="eastAsia" w:ascii="仿宋" w:hAnsi="仿宋" w:eastAsia="仿宋"/>
          <w:b w:val="0"/>
          <w:bCs w:val="0"/>
          <w:color w:val="auto"/>
          <w:sz w:val="32"/>
          <w:szCs w:val="32"/>
        </w:rPr>
        <w:t>宿迁市残疾人联合会：提供残疾证信息、安置残疾人就业年审信息；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b w:val="0"/>
          <w:bCs w:val="0"/>
          <w:color w:val="auto"/>
          <w:sz w:val="32"/>
          <w:szCs w:val="32"/>
          <w:lang w:eastAsia="zh-CN"/>
        </w:rPr>
      </w:pPr>
      <w:r>
        <w:rPr>
          <w:rFonts w:hint="eastAsia" w:ascii="仿宋" w:hAnsi="仿宋" w:eastAsia="仿宋"/>
          <w:b w:val="0"/>
          <w:bCs w:val="0"/>
          <w:color w:val="auto"/>
          <w:sz w:val="32"/>
          <w:szCs w:val="32"/>
        </w:rPr>
        <w:t>宿迁市总工会：提供基层工会组织建会信息和批准筹备建会信息；</w:t>
      </w:r>
    </w:p>
    <w:p>
      <w:pPr>
        <w:numPr>
          <w:ilvl w:val="0"/>
          <w:numId w:val="3"/>
        </w:numPr>
        <w:tabs>
          <w:tab w:val="left" w:pos="0"/>
        </w:tabs>
        <w:autoSpaceDE/>
        <w:autoSpaceDN/>
        <w:adjustRightInd w:val="0"/>
        <w:snapToGrid/>
        <w:spacing w:line="600" w:lineRule="exact"/>
        <w:ind w:left="0" w:leftChars="0" w:firstLine="640" w:firstLineChars="200"/>
        <w:rPr>
          <w:rFonts w:hint="eastAsia" w:ascii="仿宋" w:hAnsi="仿宋" w:eastAsia="仿宋"/>
          <w:b w:val="0"/>
          <w:bCs w:val="0"/>
          <w:i w:val="0"/>
          <w:iCs w:val="0"/>
          <w:color w:val="auto"/>
          <w:sz w:val="32"/>
          <w:szCs w:val="32"/>
          <w:lang w:eastAsia="zh-CN"/>
        </w:rPr>
      </w:pPr>
      <w:r>
        <w:rPr>
          <w:rFonts w:hint="eastAsia" w:ascii="仿宋" w:hAnsi="仿宋" w:eastAsia="仿宋"/>
          <w:b w:val="0"/>
          <w:bCs w:val="0"/>
          <w:color w:val="auto"/>
          <w:sz w:val="32"/>
          <w:szCs w:val="32"/>
        </w:rPr>
        <w:t>其他相关部门：按照规定应当提供的其他信息。</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olor w:val="auto"/>
          <w:sz w:val="32"/>
          <w:szCs w:val="32"/>
          <w:highlight w:val="none"/>
          <w:lang w:val="en-US" w:eastAsia="zh-CN"/>
        </w:rPr>
      </w:pPr>
      <w:r>
        <w:rPr>
          <w:rFonts w:hint="eastAsia" w:ascii="仿宋" w:hAnsi="仿宋" w:eastAsia="仿宋"/>
          <w:sz w:val="32"/>
          <w:szCs w:val="32"/>
          <w:highlight w:val="none"/>
          <w:lang w:val="en-US" w:eastAsia="zh-CN"/>
        </w:rPr>
        <w:t>税务机关在日常税费征管中，发现上述涉及信息无法满足征管需要的，经领</w:t>
      </w:r>
      <w:r>
        <w:rPr>
          <w:rFonts w:hint="eastAsia" w:ascii="仿宋" w:hAnsi="仿宋" w:eastAsia="仿宋"/>
          <w:color w:val="auto"/>
          <w:sz w:val="32"/>
          <w:szCs w:val="32"/>
          <w:highlight w:val="none"/>
          <w:lang w:val="en-US" w:eastAsia="zh-CN"/>
        </w:rPr>
        <w:t>导小组同意，有关单位和部门应予以配合。</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sz w:val="32"/>
          <w:szCs w:val="32"/>
          <w:highlight w:val="none"/>
          <w:lang w:val="en-US" w:eastAsia="zh-CN"/>
        </w:rPr>
      </w:pPr>
      <w:r>
        <w:rPr>
          <w:rFonts w:hint="eastAsia" w:ascii="仿宋" w:hAnsi="仿宋" w:eastAsia="仿宋" w:cs="宋体"/>
          <w:color w:val="auto"/>
          <w:sz w:val="32"/>
          <w:szCs w:val="32"/>
          <w:highlight w:val="none"/>
        </w:rPr>
        <w:t>有关单位和部门因履行职责和便民服务需要，</w:t>
      </w:r>
      <w:r>
        <w:rPr>
          <w:rFonts w:hint="eastAsia" w:ascii="仿宋" w:hAnsi="仿宋" w:eastAsia="仿宋" w:cs="宋体"/>
          <w:color w:val="auto"/>
          <w:sz w:val="32"/>
          <w:szCs w:val="32"/>
          <w:highlight w:val="none"/>
          <w:lang w:val="en-US" w:eastAsia="zh-CN"/>
        </w:rPr>
        <w:t>向税务部门提出涉税信息需求的</w:t>
      </w:r>
      <w:r>
        <w:rPr>
          <w:rFonts w:hint="eastAsia" w:ascii="仿宋" w:hAnsi="仿宋" w:eastAsia="仿宋" w:cs="宋体"/>
          <w:color w:val="auto"/>
          <w:sz w:val="32"/>
          <w:szCs w:val="32"/>
          <w:highlight w:val="none"/>
        </w:rPr>
        <w:t>，</w:t>
      </w:r>
      <w:r>
        <w:rPr>
          <w:rFonts w:hint="eastAsia" w:ascii="仿宋" w:hAnsi="仿宋" w:eastAsia="仿宋" w:cs="宋体"/>
          <w:color w:val="auto"/>
          <w:sz w:val="32"/>
          <w:szCs w:val="32"/>
          <w:highlight w:val="none"/>
          <w:lang w:eastAsia="zh-CN"/>
        </w:rPr>
        <w:t>税务部门应当</w:t>
      </w:r>
      <w:r>
        <w:rPr>
          <w:rFonts w:hint="eastAsia" w:ascii="仿宋" w:hAnsi="仿宋" w:eastAsia="仿宋" w:cs="宋体"/>
          <w:color w:val="auto"/>
          <w:sz w:val="32"/>
          <w:szCs w:val="32"/>
          <w:highlight w:val="none"/>
        </w:rPr>
        <w:t>根据法律、法规规定的范围提供。</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left="420" w:leftChars="0" w:firstLine="640" w:firstLineChars="200"/>
        <w:textAlignment w:val="auto"/>
        <w:rPr>
          <w:rFonts w:ascii="仿宋" w:hAnsi="仿宋" w:eastAsia="仿宋" w:cs="宋体"/>
          <w:color w:val="FF0000"/>
          <w:sz w:val="32"/>
          <w:szCs w:val="32"/>
        </w:rPr>
      </w:pPr>
    </w:p>
    <w:p>
      <w:pPr>
        <w:keepNext w:val="0"/>
        <w:keepLines w:val="0"/>
        <w:pageBreakBefore w:val="0"/>
        <w:widowControl w:val="0"/>
        <w:numPr>
          <w:ilvl w:val="0"/>
          <w:numId w:val="1"/>
        </w:numPr>
        <w:kinsoku/>
        <w:wordWrap/>
        <w:overflowPunct/>
        <w:topLinePunct w:val="0"/>
        <w:bidi w:val="0"/>
        <w:spacing w:line="560" w:lineRule="exact"/>
        <w:jc w:val="center"/>
        <w:textAlignment w:val="auto"/>
        <w:outlineLvl w:val="0"/>
        <w:rPr>
          <w:rFonts w:hint="eastAsia" w:eastAsia="方正小标宋_GBK"/>
          <w:sz w:val="32"/>
          <w:szCs w:val="32"/>
        </w:rPr>
      </w:pPr>
      <w:r>
        <w:rPr>
          <w:rFonts w:hint="eastAsia" w:eastAsia="方正小标宋_GBK"/>
          <w:sz w:val="32"/>
          <w:szCs w:val="32"/>
        </w:rPr>
        <w:t>税费监管</w:t>
      </w:r>
    </w:p>
    <w:p>
      <w:pPr>
        <w:keepNext w:val="0"/>
        <w:keepLines w:val="0"/>
        <w:pageBreakBefore w:val="0"/>
        <w:widowControl w:val="0"/>
        <w:numPr>
          <w:ilvl w:val="0"/>
          <w:numId w:val="0"/>
        </w:numPr>
        <w:kinsoku/>
        <w:wordWrap/>
        <w:overflowPunct/>
        <w:topLinePunct w:val="0"/>
        <w:bidi w:val="0"/>
        <w:spacing w:line="560" w:lineRule="exact"/>
        <w:jc w:val="both"/>
        <w:textAlignment w:val="auto"/>
        <w:rPr>
          <w:rFonts w:hint="eastAsia" w:eastAsia="方正小标宋_GBK"/>
          <w:sz w:val="32"/>
          <w:szCs w:val="32"/>
        </w:rPr>
      </w:pP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发展改革委员会协助。发展改革部门价格认定机构应当在税务机关提请基准价格及个案评估认定协助时，依法配合做好价格认定工作。</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公安机关协助。公安机关应当依税务机关的提请，在职权范围内对以下事项予以协助：税收保全措施；行政强制执行；制止寻衅滋事或暴力行为；</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对税务机关依法移送的涉嫌犯罪案件及提供的其他涉税违法线索案件，应当依法处理。</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highlight w:val="none"/>
          <w:lang w:eastAsia="zh-CN"/>
        </w:rPr>
      </w:pPr>
      <w:r>
        <w:rPr>
          <w:rFonts w:hint="eastAsia" w:ascii="仿宋" w:hAnsi="仿宋" w:eastAsia="仿宋" w:cs="宋体"/>
          <w:color w:val="auto"/>
          <w:sz w:val="32"/>
          <w:szCs w:val="32"/>
          <w:highlight w:val="none"/>
        </w:rPr>
        <w:t>公安机关交通管理部门办理车辆相关登记、检验手续时，应当依据国家有关规定核查车辆购置税、车船税完税或者免税信息后办理相关手续。</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科技部门协助。科技部门应当按照税务机关的要求对研发项目出具鉴定意见；在税务机关对高新技术企业资格提请复核时，应当及时复核确认；对复核后不符合高新技术企业认定条件的，应当及时通知税务机关。</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人力资源和社会保障、医疗保障部门协助。人力资源和社会保障、医疗保障等部门在税务机关开展社会保险费征缴检查、调查、个人所得税汇算清缴信息核实时，应当给予支持和协助。</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自然资源和规划主管部门协助。自然资源和规划主管部门在税务机关发现纳税人耕地占用税申报资料异常或者纳税人未按规定期限办理纳税申报而提出复核要求时，应当及时出具复核意见。</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highlight w:val="none"/>
          <w:lang w:eastAsia="zh-CN"/>
        </w:rPr>
      </w:pPr>
      <w:r>
        <w:rPr>
          <w:rFonts w:hint="eastAsia" w:ascii="仿宋" w:hAnsi="仿宋" w:eastAsia="仿宋" w:cs="宋体"/>
          <w:color w:val="auto"/>
          <w:sz w:val="32"/>
          <w:szCs w:val="32"/>
          <w:highlight w:val="none"/>
        </w:rPr>
        <w:t>不动产登记部门办理不动产权属登记时，应当查验与该不动产相关的税费完税凭证或者减免税税费证明，申请人未提供的，不得办理相关手续。核实国有土地使用权出让合同履约情况，核对费款和违约金是否足额缴纳。</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不动产登记部门在税务机关依法查封不动产时，应当按照税务机关提供的生效法律文书和协助执行通知书予以协助。查封期间，不得办理该不动产的过户手续。</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生态环境主管部门协助。生态环境主管部门在税务机关发现纳税人环境保护税申报资料异常或者纳税人未按规定期限办理纳税申报而提出复核要求时，应当及时出具复核意见。出让方</w:t>
      </w:r>
      <w:r>
        <w:rPr>
          <w:rFonts w:hint="eastAsia" w:ascii="仿宋" w:hAnsi="仿宋" w:eastAsia="仿宋" w:cs="宋体"/>
          <w:color w:val="auto"/>
          <w:sz w:val="32"/>
          <w:szCs w:val="32"/>
          <w:highlight w:val="none"/>
          <w:lang w:eastAsia="zh-CN"/>
        </w:rPr>
        <w:t>申请排污许可证变更</w:t>
      </w:r>
      <w:r>
        <w:rPr>
          <w:rFonts w:hint="eastAsia" w:ascii="仿宋" w:hAnsi="仿宋" w:eastAsia="仿宋" w:cs="宋体"/>
          <w:color w:val="auto"/>
          <w:sz w:val="32"/>
          <w:szCs w:val="32"/>
          <w:highlight w:val="none"/>
          <w:lang w:val="en-US" w:eastAsia="zh-CN"/>
        </w:rPr>
        <w:t>/注销手续时核验当年度排污权有偿使用费缴费凭证。</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交通运输部门协助。交通运输部门办理船舶相关登记、检验手续时，应当依据国家有关规定核查车船税完税或者免税信息后办理相关手续。</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市场监督管理部门协助。市场主体登记机关办理个人转让股权变更登记或注销手续时，应当查验与该股权交易相关的完税凭证或者申报记录。申请人未提供的，不得办理相关手续。</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人民银行协助。协助税务机关督促企业和其他有经济收入的单位及时缴纳应缴款项，对于屡催不缴的，应依照税法协助扣收入库；监督检查国库经收处及时收纳缴款人缴纳税费款项并将资金及时准确划转人行国库，保障税费及时缴库。</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金融机构协助。金融机构在税务机关依法对纳税人、缴费人、扣缴义务人和税务执法行为涉及的相关当事人开立账户情况查询、存款查询、冻结存款、扣缴税款或者划拨社会保险费时，应当依法予以协助。</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其他税费执法协助。其他</w:t>
      </w:r>
      <w:r>
        <w:rPr>
          <w:rFonts w:hint="eastAsia" w:ascii="仿宋" w:hAnsi="仿宋" w:eastAsia="仿宋" w:cs="宋体"/>
          <w:color w:val="auto"/>
          <w:sz w:val="32"/>
          <w:szCs w:val="32"/>
        </w:rPr>
        <w:t>有关</w:t>
      </w:r>
      <w:r>
        <w:rPr>
          <w:rFonts w:hint="eastAsia" w:ascii="仿宋" w:hAnsi="仿宋" w:eastAsia="仿宋" w:cs="宋体"/>
          <w:color w:val="auto"/>
          <w:sz w:val="32"/>
          <w:szCs w:val="32"/>
          <w:lang w:eastAsia="zh-CN"/>
        </w:rPr>
        <w:t>单位和</w:t>
      </w:r>
      <w:r>
        <w:rPr>
          <w:rFonts w:hint="eastAsia" w:ascii="仿宋" w:hAnsi="仿宋" w:eastAsia="仿宋" w:cs="宋体"/>
          <w:color w:val="auto"/>
          <w:sz w:val="32"/>
          <w:szCs w:val="32"/>
        </w:rPr>
        <w:t>部门</w:t>
      </w:r>
      <w:r>
        <w:rPr>
          <w:rFonts w:hint="eastAsia" w:ascii="仿宋" w:hAnsi="仿宋" w:eastAsia="仿宋" w:cs="宋体"/>
          <w:color w:val="auto"/>
          <w:sz w:val="32"/>
          <w:szCs w:val="32"/>
          <w:highlight w:val="none"/>
        </w:rPr>
        <w:t>应当根据税务机关开展税务检查等执法行为的需要，依法予以必要协助，共同维护国家税收秩序。有关单位和部门在履行职责过程中发现</w:t>
      </w:r>
      <w:r>
        <w:rPr>
          <w:rFonts w:hint="eastAsia" w:ascii="仿宋" w:hAnsi="仿宋" w:eastAsia="仿宋" w:cs="宋体"/>
          <w:color w:val="auto"/>
          <w:sz w:val="32"/>
          <w:szCs w:val="32"/>
          <w:highlight w:val="none"/>
          <w:lang w:eastAsia="zh-CN"/>
        </w:rPr>
        <w:t>涉税费</w:t>
      </w:r>
      <w:r>
        <w:rPr>
          <w:rFonts w:hint="eastAsia" w:ascii="仿宋" w:hAnsi="仿宋" w:eastAsia="仿宋" w:cs="宋体"/>
          <w:color w:val="auto"/>
          <w:sz w:val="32"/>
          <w:szCs w:val="32"/>
          <w:highlight w:val="none"/>
        </w:rPr>
        <w:t>违法行为的，应及时告知税务、财政等相关部门。</w:t>
      </w:r>
    </w:p>
    <w:p>
      <w:pPr>
        <w:keepNext w:val="0"/>
        <w:keepLines w:val="0"/>
        <w:pageBreakBefore w:val="0"/>
        <w:widowControl w:val="0"/>
        <w:numPr>
          <w:ilvl w:val="0"/>
          <w:numId w:val="0"/>
        </w:numPr>
        <w:tabs>
          <w:tab w:val="left" w:pos="0"/>
        </w:tabs>
        <w:kinsoku/>
        <w:wordWrap/>
        <w:overflowPunct/>
        <w:topLinePunct w:val="0"/>
        <w:bidi w:val="0"/>
        <w:spacing w:line="560" w:lineRule="exact"/>
        <w:ind w:left="420" w:leftChars="0" w:firstLine="640" w:firstLineChars="200"/>
        <w:textAlignment w:val="auto"/>
        <w:rPr>
          <w:rFonts w:ascii="仿宋" w:hAnsi="仿宋" w:eastAsia="仿宋" w:cs="仿宋"/>
          <w:sz w:val="32"/>
          <w:szCs w:val="32"/>
        </w:rPr>
      </w:pPr>
    </w:p>
    <w:p>
      <w:pPr>
        <w:keepNext w:val="0"/>
        <w:keepLines w:val="0"/>
        <w:pageBreakBefore w:val="0"/>
        <w:widowControl w:val="0"/>
        <w:numPr>
          <w:ilvl w:val="0"/>
          <w:numId w:val="1"/>
        </w:numPr>
        <w:kinsoku/>
        <w:wordWrap/>
        <w:overflowPunct/>
        <w:topLinePunct w:val="0"/>
        <w:bidi w:val="0"/>
        <w:spacing w:line="560" w:lineRule="exact"/>
        <w:jc w:val="center"/>
        <w:textAlignment w:val="auto"/>
        <w:outlineLvl w:val="0"/>
        <w:rPr>
          <w:rFonts w:hint="eastAsia" w:eastAsia="方正小标宋_GBK"/>
          <w:sz w:val="32"/>
          <w:szCs w:val="32"/>
        </w:rPr>
      </w:pPr>
      <w:r>
        <w:rPr>
          <w:rFonts w:hint="eastAsia" w:eastAsia="方正小标宋_GBK"/>
          <w:sz w:val="32"/>
          <w:szCs w:val="32"/>
        </w:rPr>
        <w:t>协同保障</w:t>
      </w:r>
    </w:p>
    <w:p>
      <w:pPr>
        <w:keepNext w:val="0"/>
        <w:keepLines w:val="0"/>
        <w:pageBreakBefore w:val="0"/>
        <w:widowControl w:val="0"/>
        <w:numPr>
          <w:ilvl w:val="0"/>
          <w:numId w:val="0"/>
        </w:numPr>
        <w:tabs>
          <w:tab w:val="left" w:pos="0"/>
        </w:tabs>
        <w:kinsoku/>
        <w:wordWrap/>
        <w:overflowPunct/>
        <w:topLinePunct w:val="0"/>
        <w:bidi w:val="0"/>
        <w:spacing w:line="560" w:lineRule="exact"/>
        <w:ind w:leftChars="200"/>
        <w:jc w:val="both"/>
        <w:textAlignment w:val="auto"/>
        <w:rPr>
          <w:rFonts w:hint="eastAsia" w:eastAsia="方正小标宋_GBK"/>
          <w:sz w:val="32"/>
          <w:szCs w:val="32"/>
        </w:rPr>
      </w:pP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跨部门业务集成。税务机关与相关部门共同推进政务服务“一件事”改革，提高“一件事、一次办”水平。对跨部门业务关联密切的事项提供集成式服务，进一步压减办理时间，助力市场主体创业发展。</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rPr>
        <w:t>税收守信联合激励。税务机关通过政府信用信息平台、行政执法公示平台等主动向社会公告相关信息。相关部门在办理行政许可过程中，根据税务部门公告的信息，结合实际情况，在便利服务措施上实施“绿色通道”和“容缺受理”；在财政性资金项目安排、政府招标供应土地等各类政府扶持类政策中优先予以考虑；在有关公共资源交易活动中，采取信用加分等措施；在行政执法检查中优化检查频次；在会展、银企对接等活动中重点推介诚信企业，让信用成为市场配置资源的重要考量因素。鼓励和支持各银行机构将企业纳税信用信息作为授信的条件之一，在贷款、担保等方面予以优惠支持。</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税收失信联合惩戒。税务部门和有关单位、部门依据《国务院办公厅关于进一步完善失信约束制度构建诚信建设长效机制的指导意见》（国办发﹝2020﹞49号）等规定，进一步规范和健全税收失信行为认定、记录、归集、共享、公开、惩戒和信用修复等机制。</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涉税专业服务。涉税专业服务机构应当按规定接受税务机关监管，专业、诚信从事涉税业务，协助税务机关开展税费宣传、政策培训和涉税需求调研,协助提升纳税人税收遵从度。</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rPr>
        <w:t>社会组织协作。规范和发挥社会组织在优化纳税服务、提高征管效能等方面的积极作用，鼓励社会组织按照法律、法规的规定承接税费公共服务。加强与社会公益组织合作，组织开展税收志愿者服务。</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b w:val="0"/>
          <w:bCs w:val="0"/>
          <w:color w:val="auto"/>
          <w:sz w:val="32"/>
          <w:szCs w:val="32"/>
        </w:rPr>
      </w:pPr>
      <w:r>
        <w:rPr>
          <w:rFonts w:hint="eastAsia" w:ascii="仿宋" w:hAnsi="仿宋" w:eastAsia="仿宋"/>
          <w:b w:val="0"/>
          <w:bCs w:val="0"/>
          <w:color w:val="auto"/>
          <w:sz w:val="32"/>
          <w:szCs w:val="32"/>
          <w:lang w:val="zh-CN"/>
        </w:rPr>
        <w:t>网格化管理</w:t>
      </w:r>
      <w:r>
        <w:rPr>
          <w:rFonts w:hint="eastAsia" w:ascii="仿宋" w:hAnsi="仿宋" w:eastAsia="仿宋"/>
          <w:b w:val="0"/>
          <w:bCs w:val="0"/>
          <w:color w:val="auto"/>
          <w:sz w:val="32"/>
          <w:szCs w:val="32"/>
        </w:rPr>
        <w:t>。各县（区）政府要建立网格化管理体系。按照“属地管理、全面覆盖”的要求，与属地税务机关密切配合，以社会治理综合网格为单元，联合落实税费征管服务、诉求收集响应、税费政策宣传、争议处理化解、信息采集等工作。</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b w:val="0"/>
          <w:bCs w:val="0"/>
          <w:color w:val="auto"/>
          <w:sz w:val="32"/>
          <w:szCs w:val="32"/>
          <w:lang w:eastAsia="zh-CN"/>
        </w:rPr>
      </w:pPr>
      <w:r>
        <w:rPr>
          <w:rFonts w:hint="eastAsia" w:ascii="仿宋" w:hAnsi="仿宋" w:eastAsia="仿宋"/>
          <w:b w:val="0"/>
          <w:bCs w:val="0"/>
          <w:color w:val="auto"/>
          <w:sz w:val="32"/>
          <w:szCs w:val="32"/>
        </w:rPr>
        <w:t>规范缴纳。机关事业单位应当通过财政部门审核的账户缴纳税费，并实行税费直接扣缴入库。人力资源社会保障、医疗保障、财政、税务</w:t>
      </w:r>
      <w:r>
        <w:rPr>
          <w:rFonts w:hint="eastAsia" w:ascii="仿宋" w:hAnsi="仿宋" w:eastAsia="仿宋"/>
          <w:b w:val="0"/>
          <w:bCs w:val="0"/>
          <w:color w:val="auto"/>
          <w:sz w:val="32"/>
          <w:szCs w:val="32"/>
          <w:lang w:eastAsia="zh-CN"/>
        </w:rPr>
        <w:t>、人行</w:t>
      </w:r>
      <w:r>
        <w:rPr>
          <w:rFonts w:hint="eastAsia" w:ascii="仿宋" w:hAnsi="仿宋" w:eastAsia="仿宋"/>
          <w:b w:val="0"/>
          <w:bCs w:val="0"/>
          <w:color w:val="auto"/>
          <w:sz w:val="32"/>
          <w:szCs w:val="32"/>
        </w:rPr>
        <w:t>等部门应完善社会保险费对账机制，保障缴费人正常享受社保待遇；建立社会保险费征缴相关争议的联合处理机制，及时解决争议纠纷。</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rPr>
        <w:t>舆情应对。市县两级网信办指导、协调、督促税务机关及有关单位和部门加强互联网信息内容管理。公安机关应当积极配合税务机关，加大对散布谣言、故意扰乱正常办税秩序违法行为的打击力度。</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rPr>
        <w:t>宣传保障。市政府和相关职能部门主管的网站、电视台、报纸、融媒体中心、政务微信号等宣传平台，应当为税务机关开展税费宣传活动提供支持和便利。</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leftChars="200"/>
        <w:textAlignment w:val="auto"/>
        <w:rPr>
          <w:rFonts w:hint="eastAsia" w:ascii="仿宋" w:hAnsi="仿宋" w:eastAsia="仿宋"/>
          <w:b w:val="0"/>
          <w:bCs w:val="0"/>
          <w:color w:val="auto"/>
          <w:sz w:val="32"/>
          <w:szCs w:val="32"/>
        </w:rPr>
      </w:pPr>
    </w:p>
    <w:p>
      <w:pPr>
        <w:keepNext w:val="0"/>
        <w:keepLines w:val="0"/>
        <w:pageBreakBefore w:val="0"/>
        <w:widowControl w:val="0"/>
        <w:numPr>
          <w:ilvl w:val="0"/>
          <w:numId w:val="1"/>
        </w:numPr>
        <w:kinsoku/>
        <w:wordWrap/>
        <w:overflowPunct/>
        <w:topLinePunct w:val="0"/>
        <w:bidi w:val="0"/>
        <w:spacing w:line="560" w:lineRule="exact"/>
        <w:jc w:val="center"/>
        <w:textAlignment w:val="auto"/>
        <w:outlineLvl w:val="0"/>
        <w:rPr>
          <w:rFonts w:hint="eastAsia" w:eastAsia="方正小标宋_GBK"/>
          <w:sz w:val="32"/>
          <w:szCs w:val="32"/>
        </w:rPr>
      </w:pPr>
      <w:r>
        <w:rPr>
          <w:rFonts w:hint="eastAsia" w:eastAsia="方正小标宋_GBK"/>
          <w:sz w:val="32"/>
          <w:szCs w:val="32"/>
        </w:rPr>
        <w:t>附</w:t>
      </w:r>
      <w:r>
        <w:rPr>
          <w:rFonts w:hint="eastAsia" w:eastAsia="方正小标宋_GBK"/>
          <w:sz w:val="32"/>
          <w:szCs w:val="32"/>
          <w:lang w:val="en-US" w:eastAsia="zh-CN"/>
        </w:rPr>
        <w:t xml:space="preserve">  </w:t>
      </w:r>
      <w:r>
        <w:rPr>
          <w:rFonts w:hint="eastAsia" w:eastAsia="方正小标宋_GBK"/>
          <w:sz w:val="32"/>
          <w:szCs w:val="32"/>
        </w:rPr>
        <w:t>则</w:t>
      </w:r>
    </w:p>
    <w:p>
      <w:pPr>
        <w:keepNext w:val="0"/>
        <w:keepLines w:val="0"/>
        <w:pageBreakBefore w:val="0"/>
        <w:widowControl w:val="0"/>
        <w:numPr>
          <w:ilvl w:val="0"/>
          <w:numId w:val="0"/>
        </w:numPr>
        <w:kinsoku/>
        <w:wordWrap/>
        <w:overflowPunct/>
        <w:topLinePunct w:val="0"/>
        <w:bidi w:val="0"/>
        <w:spacing w:line="560" w:lineRule="exact"/>
        <w:jc w:val="both"/>
        <w:textAlignment w:val="auto"/>
        <w:rPr>
          <w:rFonts w:hint="eastAsia" w:eastAsia="方正小标宋_GBK"/>
          <w:sz w:val="32"/>
          <w:szCs w:val="32"/>
        </w:rPr>
      </w:pP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sz w:val="32"/>
          <w:szCs w:val="32"/>
        </w:rPr>
      </w:pPr>
      <w:r>
        <w:rPr>
          <w:rFonts w:hint="eastAsia" w:ascii="仿宋" w:hAnsi="仿宋" w:eastAsia="仿宋" w:cs="宋体"/>
          <w:sz w:val="32"/>
          <w:szCs w:val="32"/>
        </w:rPr>
        <w:t>领导小组根据机构设置变化以及实际工作需要，适时调整税费征管保障领导小组成员单位的组成、信息共享以及协作工作内容。</w:t>
      </w:r>
    </w:p>
    <w:p>
      <w:pPr>
        <w:pStyle w:val="6"/>
        <w:keepNext w:val="0"/>
        <w:keepLines w:val="0"/>
        <w:pageBreakBefore w:val="0"/>
        <w:widowControl w:val="0"/>
        <w:numPr>
          <w:ilvl w:val="0"/>
          <w:numId w:val="0"/>
        </w:numPr>
        <w:tabs>
          <w:tab w:val="left" w:pos="0"/>
        </w:tabs>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cs="宋体"/>
          <w:color w:val="auto"/>
          <w:sz w:val="32"/>
          <w:szCs w:val="32"/>
          <w:lang w:eastAsia="zh-CN"/>
        </w:rPr>
      </w:pPr>
      <w:r>
        <w:rPr>
          <w:rFonts w:hint="eastAsia" w:ascii="仿宋" w:hAnsi="仿宋" w:eastAsia="仿宋" w:cs="宋体"/>
          <w:color w:val="auto"/>
          <w:sz w:val="32"/>
          <w:szCs w:val="32"/>
          <w:lang w:eastAsia="zh-CN"/>
        </w:rPr>
        <w:t>地方人民政府调整行政职能实施主体的，相关涉税费信息由承接其行政职能的部门负责提供。</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hint="eastAsia" w:ascii="仿宋" w:hAnsi="仿宋" w:eastAsia="仿宋" w:cs="宋体"/>
          <w:sz w:val="32"/>
          <w:szCs w:val="32"/>
          <w:lang w:eastAsia="zh-CN"/>
        </w:rPr>
      </w:pPr>
      <w:r>
        <w:rPr>
          <w:rFonts w:hint="eastAsia" w:ascii="仿宋" w:hAnsi="仿宋" w:eastAsia="仿宋" w:cs="宋体"/>
          <w:sz w:val="32"/>
          <w:szCs w:val="32"/>
          <w:lang w:eastAsia="zh-CN"/>
        </w:rPr>
        <w:t>地方各级人民政府、</w:t>
      </w:r>
      <w:r>
        <w:rPr>
          <w:rFonts w:hint="eastAsia" w:ascii="仿宋" w:hAnsi="仿宋" w:eastAsia="仿宋" w:cs="宋体"/>
          <w:color w:val="auto"/>
          <w:sz w:val="32"/>
          <w:szCs w:val="32"/>
        </w:rPr>
        <w:t>有关</w:t>
      </w:r>
      <w:r>
        <w:rPr>
          <w:rFonts w:hint="eastAsia" w:ascii="仿宋" w:hAnsi="仿宋" w:eastAsia="仿宋" w:cs="宋体"/>
          <w:color w:val="auto"/>
          <w:sz w:val="32"/>
          <w:szCs w:val="32"/>
          <w:lang w:eastAsia="zh-CN"/>
        </w:rPr>
        <w:t>单位和</w:t>
      </w:r>
      <w:r>
        <w:rPr>
          <w:rFonts w:hint="eastAsia" w:ascii="仿宋" w:hAnsi="仿宋" w:eastAsia="仿宋" w:cs="宋体"/>
          <w:color w:val="auto"/>
          <w:sz w:val="32"/>
          <w:szCs w:val="32"/>
        </w:rPr>
        <w:t>部门</w:t>
      </w:r>
      <w:r>
        <w:rPr>
          <w:rFonts w:hint="eastAsia" w:ascii="仿宋" w:hAnsi="仿宋" w:eastAsia="仿宋" w:cs="宋体"/>
          <w:sz w:val="32"/>
          <w:szCs w:val="32"/>
          <w:lang w:eastAsia="zh-CN"/>
        </w:rPr>
        <w:t>及其工作人员未按照法律法规及本办法的规定，履行税费征管保障义务的，由有权机关按照规定予以处理。</w:t>
      </w:r>
    </w:p>
    <w:p>
      <w:pPr>
        <w:pStyle w:val="6"/>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firstLine="640" w:firstLineChars="200"/>
        <w:textAlignment w:val="auto"/>
        <w:rPr>
          <w:rFonts w:ascii="仿宋" w:hAnsi="仿宋" w:eastAsia="仿宋" w:cs="宋体"/>
          <w:sz w:val="32"/>
          <w:szCs w:val="32"/>
        </w:rPr>
      </w:pPr>
      <w:r>
        <w:rPr>
          <w:rFonts w:hint="eastAsia" w:ascii="仿宋" w:hAnsi="仿宋" w:eastAsia="仿宋" w:cs="宋体"/>
          <w:sz w:val="32"/>
          <w:szCs w:val="32"/>
        </w:rPr>
        <w:t>本办法自印发之日起施行。《市政府办公室关于宿迁市税收协同共治工作的实施意见》（宿政办发〔2019〕46号）同时废止。</w:t>
      </w:r>
    </w:p>
    <w:p>
      <w:pPr>
        <w:pStyle w:val="6"/>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s="宋体"/>
          <w:sz w:val="32"/>
          <w:szCs w:val="32"/>
        </w:rPr>
      </w:pPr>
    </w:p>
    <w:p>
      <w:pPr>
        <w:pStyle w:val="6"/>
        <w:tabs>
          <w:tab w:val="left" w:pos="0"/>
        </w:tabs>
        <w:autoSpaceDE/>
        <w:autoSpaceDN/>
        <w:adjustRightInd w:val="0"/>
        <w:snapToGrid/>
        <w:spacing w:line="600" w:lineRule="exact"/>
        <w:ind w:firstLine="640" w:firstLineChars="200"/>
        <w:outlineLvl w:val="0"/>
        <w:rPr>
          <w:rFonts w:ascii="仿宋" w:hAnsi="仿宋" w:eastAsia="仿宋" w:cs="宋体"/>
          <w:b w:val="0"/>
          <w:bCs w:val="0"/>
          <w:color w:val="auto"/>
          <w:sz w:val="32"/>
          <w:szCs w:val="32"/>
        </w:rPr>
      </w:pPr>
      <w:r>
        <w:rPr>
          <w:rFonts w:hint="eastAsia" w:ascii="仿宋" w:hAnsi="仿宋" w:eastAsia="仿宋" w:cs="宋体"/>
          <w:b w:val="0"/>
          <w:bCs w:val="0"/>
          <w:color w:val="auto"/>
          <w:sz w:val="32"/>
          <w:szCs w:val="32"/>
        </w:rPr>
        <w:t>附件1：宿迁市税费征管保障领导小组成员单位名单</w:t>
      </w:r>
    </w:p>
    <w:p>
      <w:pPr>
        <w:pStyle w:val="6"/>
        <w:tabs>
          <w:tab w:val="left" w:pos="0"/>
        </w:tabs>
        <w:autoSpaceDE/>
        <w:autoSpaceDN/>
        <w:adjustRightInd w:val="0"/>
        <w:snapToGrid/>
        <w:spacing w:line="600" w:lineRule="exact"/>
        <w:ind w:firstLine="640" w:firstLineChars="200"/>
        <w:outlineLvl w:val="0"/>
        <w:rPr>
          <w:rFonts w:ascii="仿宋" w:hAnsi="仿宋" w:eastAsia="仿宋" w:cs="宋体"/>
          <w:b w:val="0"/>
          <w:bCs w:val="0"/>
          <w:color w:val="auto"/>
          <w:sz w:val="32"/>
          <w:szCs w:val="32"/>
        </w:rPr>
      </w:pPr>
      <w:r>
        <w:rPr>
          <w:rFonts w:hint="eastAsia" w:ascii="仿宋" w:hAnsi="仿宋" w:eastAsia="仿宋" w:cs="宋体"/>
          <w:b w:val="0"/>
          <w:bCs w:val="0"/>
          <w:color w:val="auto"/>
          <w:sz w:val="32"/>
          <w:szCs w:val="32"/>
        </w:rPr>
        <w:t>附件2：宿迁市政务</w:t>
      </w:r>
      <w:r>
        <w:rPr>
          <w:rFonts w:hint="eastAsia" w:ascii="仿宋" w:hAnsi="仿宋" w:eastAsia="仿宋" w:cs="宋体"/>
          <w:b w:val="0"/>
          <w:bCs w:val="0"/>
          <w:color w:val="auto"/>
          <w:sz w:val="32"/>
          <w:szCs w:val="32"/>
          <w:lang w:eastAsia="zh-CN"/>
        </w:rPr>
        <w:t>涉税费</w:t>
      </w:r>
      <w:r>
        <w:rPr>
          <w:rFonts w:hint="eastAsia" w:ascii="仿宋" w:hAnsi="仿宋" w:eastAsia="仿宋" w:cs="宋体"/>
          <w:b w:val="0"/>
          <w:bCs w:val="0"/>
          <w:color w:val="auto"/>
          <w:sz w:val="32"/>
          <w:szCs w:val="32"/>
        </w:rPr>
        <w:t>数据共享目录</w:t>
      </w:r>
    </w:p>
    <w:p>
      <w:pPr>
        <w:keepNext w:val="0"/>
        <w:keepLines w:val="0"/>
        <w:pageBreakBefore w:val="0"/>
        <w:widowControl w:val="0"/>
        <w:kinsoku/>
        <w:wordWrap/>
        <w:overflowPunct/>
        <w:topLinePunct w:val="0"/>
        <w:bidi w:val="0"/>
        <w:spacing w:line="560" w:lineRule="exact"/>
        <w:ind w:firstLine="420" w:firstLineChars="200"/>
        <w:textAlignment w:val="auto"/>
        <w:rPr>
          <w:rFonts w:asciiTheme="minorEastAsia" w:hAnsiTheme="minorEastAsia" w:eastAsiaTheme="minorEastAsia" w:cstheme="minorEastAsia"/>
        </w:rPr>
      </w:pPr>
    </w:p>
    <w:p>
      <w:pPr>
        <w:keepNext w:val="0"/>
        <w:keepLines w:val="0"/>
        <w:pageBreakBefore w:val="0"/>
        <w:widowControl w:val="0"/>
        <w:kinsoku/>
        <w:wordWrap/>
        <w:overflowPunct/>
        <w:topLinePunct w:val="0"/>
        <w:bidi w:val="0"/>
        <w:spacing w:line="560" w:lineRule="exact"/>
        <w:ind w:firstLine="420" w:firstLineChars="200"/>
        <w:textAlignment w:val="auto"/>
        <w:rPr>
          <w:rFonts w:asciiTheme="minorEastAsia" w:hAnsiTheme="minorEastAsia" w:eastAsiaTheme="minorEastAsia" w:cstheme="minorEastAsia"/>
        </w:rPr>
      </w:pPr>
    </w:p>
    <w:p>
      <w:pPr>
        <w:keepNext w:val="0"/>
        <w:keepLines w:val="0"/>
        <w:pageBreakBefore w:val="0"/>
        <w:widowControl w:val="0"/>
        <w:kinsoku/>
        <w:wordWrap/>
        <w:overflowPunct/>
        <w:topLinePunct w:val="0"/>
        <w:bidi w:val="0"/>
        <w:spacing w:line="560" w:lineRule="exact"/>
        <w:ind w:firstLine="420" w:firstLineChars="200"/>
        <w:textAlignment w:val="auto"/>
        <w:rPr>
          <w:rFonts w:asciiTheme="minorEastAsia" w:hAnsiTheme="minorEastAsia" w:eastAsiaTheme="minorEastAsia" w:cstheme="minorEastAsia"/>
        </w:rPr>
      </w:pPr>
    </w:p>
    <w:p>
      <w:pPr>
        <w:keepNext w:val="0"/>
        <w:keepLines w:val="0"/>
        <w:pageBreakBefore w:val="0"/>
        <w:widowControl w:val="0"/>
        <w:kinsoku/>
        <w:wordWrap/>
        <w:overflowPunct/>
        <w:topLinePunct w:val="0"/>
        <w:bidi w:val="0"/>
        <w:spacing w:line="560" w:lineRule="exact"/>
        <w:ind w:firstLine="420" w:firstLineChars="200"/>
        <w:textAlignment w:val="auto"/>
        <w:rPr>
          <w:rFonts w:asciiTheme="minorEastAsia" w:hAnsiTheme="minorEastAsia" w:eastAsiaTheme="minorEastAsia" w:cstheme="minorEastAsia"/>
        </w:rPr>
      </w:pPr>
    </w:p>
    <w:p>
      <w:pPr>
        <w:keepNext w:val="0"/>
        <w:keepLines w:val="0"/>
        <w:pageBreakBefore w:val="0"/>
        <w:widowControl w:val="0"/>
        <w:kinsoku/>
        <w:wordWrap/>
        <w:overflowPunct/>
        <w:topLinePunct w:val="0"/>
        <w:bidi w:val="0"/>
        <w:spacing w:line="560" w:lineRule="exact"/>
        <w:ind w:firstLine="420" w:firstLineChars="200"/>
        <w:textAlignment w:val="auto"/>
        <w:rPr>
          <w:rFonts w:asciiTheme="minorEastAsia" w:hAnsiTheme="minorEastAsia" w:eastAsiaTheme="minorEastAsia" w:cstheme="minorEastAsia"/>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firstLine="420" w:firstLineChars="200"/>
        <w:textAlignment w:val="auto"/>
        <w:rPr>
          <w:rFonts w:hint="eastAsia" w:asciiTheme="minorEastAsia" w:hAnsiTheme="minorEastAsia" w:eastAsiaTheme="minorEastAsia" w:cstheme="minorEastAsia"/>
          <w:lang w:val="en-US" w:eastAsia="zh-CN"/>
        </w:rPr>
      </w:pPr>
    </w:p>
    <w:p>
      <w:pPr>
        <w:autoSpaceDE w:val="0"/>
        <w:autoSpaceDN w:val="0"/>
        <w:snapToGrid w:val="0"/>
        <w:spacing w:line="560" w:lineRule="exact"/>
        <w:outlineLvl w:val="0"/>
        <w:rPr>
          <w:rFonts w:hint="eastAsia" w:ascii="Times New Roman" w:hAnsi="Times New Roman" w:eastAsia="方正黑体_GBK" w:cs="Times New Roman"/>
          <w:snapToGrid w:val="0"/>
          <w:kern w:val="0"/>
          <w:sz w:val="32"/>
          <w:szCs w:val="20"/>
          <w:lang w:eastAsia="zh-CN"/>
        </w:rPr>
      </w:pPr>
      <w:r>
        <w:rPr>
          <w:rFonts w:ascii="Times New Roman" w:hAnsi="Times New Roman" w:eastAsia="方正黑体_GBK" w:cs="Times New Roman"/>
          <w:snapToGrid w:val="0"/>
          <w:kern w:val="0"/>
          <w:sz w:val="32"/>
          <w:szCs w:val="20"/>
        </w:rPr>
        <w:t>附件1</w:t>
      </w:r>
      <w:r>
        <w:rPr>
          <w:rFonts w:hint="eastAsia" w:ascii="Times New Roman" w:hAnsi="Times New Roman" w:eastAsia="方正黑体_GBK" w:cs="Times New Roman"/>
          <w:snapToGrid w:val="0"/>
          <w:kern w:val="0"/>
          <w:sz w:val="32"/>
          <w:szCs w:val="20"/>
          <w:lang w:eastAsia="zh-CN"/>
        </w:rPr>
        <w:t>：</w:t>
      </w:r>
    </w:p>
    <w:p>
      <w:pPr>
        <w:autoSpaceDE w:val="0"/>
        <w:autoSpaceDN w:val="0"/>
        <w:snapToGrid w:val="0"/>
        <w:spacing w:line="560" w:lineRule="exact"/>
        <w:ind w:firstLine="640" w:firstLineChars="200"/>
        <w:rPr>
          <w:rFonts w:ascii="Times New Roman" w:hAnsi="Times New Roman" w:cs="Times New Roman"/>
          <w:snapToGrid w:val="0"/>
          <w:kern w:val="0"/>
          <w:sz w:val="32"/>
          <w:szCs w:val="20"/>
        </w:rPr>
      </w:pPr>
    </w:p>
    <w:p>
      <w:pPr>
        <w:autoSpaceDE w:val="0"/>
        <w:autoSpaceDN w:val="0"/>
        <w:snapToGrid w:val="0"/>
        <w:spacing w:line="560" w:lineRule="exact"/>
        <w:jc w:val="center"/>
        <w:rPr>
          <w:rFonts w:ascii="Times New Roman" w:hAnsi="Times New Roman" w:eastAsia="方正小标宋_GBK" w:cs="Times New Roman"/>
          <w:snapToGrid w:val="0"/>
          <w:kern w:val="0"/>
          <w:sz w:val="44"/>
          <w:szCs w:val="44"/>
        </w:rPr>
      </w:pPr>
      <w:r>
        <w:rPr>
          <w:rFonts w:ascii="Times New Roman" w:hAnsi="Times New Roman" w:eastAsia="方正小标宋_GBK" w:cs="Times New Roman"/>
          <w:snapToGrid w:val="0"/>
          <w:kern w:val="0"/>
          <w:sz w:val="44"/>
          <w:szCs w:val="44"/>
        </w:rPr>
        <w:t>宿迁市税费征管保障领导小组成员名单</w:t>
      </w:r>
    </w:p>
    <w:p>
      <w:pPr>
        <w:autoSpaceDE w:val="0"/>
        <w:autoSpaceDN w:val="0"/>
        <w:snapToGrid w:val="0"/>
        <w:spacing w:line="560" w:lineRule="exact"/>
        <w:ind w:firstLine="640" w:firstLineChars="200"/>
        <w:jc w:val="center"/>
        <w:rPr>
          <w:rFonts w:ascii="Times New Roman" w:hAnsi="Times New Roman" w:eastAsia="方正小标宋_GBK" w:cs="Times New Roman"/>
          <w:snapToGrid w:val="0"/>
          <w:kern w:val="0"/>
          <w:sz w:val="32"/>
          <w:szCs w:val="32"/>
        </w:rPr>
      </w:pPr>
    </w:p>
    <w:p>
      <w:pPr>
        <w:autoSpaceDE w:val="0"/>
        <w:autoSpaceDN w:val="0"/>
        <w:snapToGrid w:val="0"/>
        <w:spacing w:line="560" w:lineRule="exact"/>
        <w:ind w:firstLine="560" w:firstLineChars="200"/>
        <w:rPr>
          <w:rFonts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 xml:space="preserve">组  长：     </w:t>
      </w:r>
    </w:p>
    <w:p>
      <w:pPr>
        <w:autoSpaceDE w:val="0"/>
        <w:autoSpaceDN w:val="0"/>
        <w:snapToGrid w:val="0"/>
        <w:spacing w:line="560" w:lineRule="exact"/>
        <w:ind w:firstLine="560" w:firstLineChars="200"/>
        <w:rPr>
          <w:rFonts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 xml:space="preserve">副组长：  市政府办公室      </w:t>
      </w:r>
    </w:p>
    <w:p>
      <w:pPr>
        <w:autoSpaceDE w:val="0"/>
        <w:autoSpaceDN w:val="0"/>
        <w:snapToGrid w:val="0"/>
        <w:spacing w:line="560" w:lineRule="exact"/>
        <w:ind w:firstLine="1960" w:firstLineChars="700"/>
        <w:rPr>
          <w:rFonts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市财政局局长</w:t>
      </w:r>
    </w:p>
    <w:p>
      <w:pPr>
        <w:autoSpaceDE w:val="0"/>
        <w:autoSpaceDN w:val="0"/>
        <w:snapToGrid w:val="0"/>
        <w:spacing w:line="560" w:lineRule="exact"/>
        <w:ind w:firstLine="1960" w:firstLineChars="700"/>
        <w:rPr>
          <w:rFonts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市税务局局长</w:t>
      </w:r>
    </w:p>
    <w:p>
      <w:pPr>
        <w:autoSpaceDE w:val="0"/>
        <w:autoSpaceDN w:val="0"/>
        <w:snapToGrid w:val="0"/>
        <w:spacing w:line="560" w:lineRule="exact"/>
        <w:ind w:firstLine="560" w:firstLineChars="2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成  员：</w:t>
      </w:r>
      <w:r>
        <w:rPr>
          <w:rFonts w:hint="eastAsia" w:ascii="Times New Roman" w:hAnsi="Times New Roman" w:eastAsia="方正仿宋_GBK" w:cs="Times New Roman"/>
          <w:snapToGrid w:val="0"/>
          <w:kern w:val="0"/>
          <w:sz w:val="28"/>
          <w:szCs w:val="28"/>
        </w:rPr>
        <w:t xml:space="preserve">  </w:t>
      </w:r>
      <w:r>
        <w:rPr>
          <w:rFonts w:ascii="Times New Roman" w:hAnsi="Times New Roman" w:eastAsia="方正仿宋_GBK" w:cs="Times New Roman"/>
          <w:snapToGrid w:val="0"/>
          <w:kern w:val="0"/>
          <w:sz w:val="28"/>
          <w:szCs w:val="28"/>
        </w:rPr>
        <w:t>市政府办公室</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市委宣传部</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市委网信办</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市委编办</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市发展改革委</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市教育局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市科技局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市工业和信息化局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市公安局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市司法局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市民政局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hint="eastAsia" w:ascii="Times New Roman" w:hAnsi="Times New Roman" w:eastAsia="方正仿宋_GBK" w:cs="Times New Roman"/>
          <w:snapToGrid w:val="0"/>
          <w:kern w:val="0"/>
          <w:sz w:val="28"/>
          <w:szCs w:val="28"/>
        </w:rPr>
        <w:t>市财政局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市人力资源社会保障局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市自然资源和规划局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市生态环境局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市住房城乡建设局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市城管局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市交通运输局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市水利局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市农业农村局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市商务局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市文化广电和旅游局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市卫生健康委</w:t>
      </w:r>
      <w:r>
        <w:rPr>
          <w:rFonts w:hint="eastAsia" w:ascii="Times New Roman" w:hAnsi="Times New Roman" w:eastAsia="方正仿宋_GBK" w:cs="Times New Roman"/>
          <w:snapToGrid w:val="0"/>
          <w:kern w:val="0"/>
          <w:sz w:val="28"/>
          <w:szCs w:val="28"/>
        </w:rPr>
        <w:t>员会</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hint="eastAsia" w:ascii="Times New Roman" w:hAnsi="Times New Roman" w:eastAsia="方正仿宋_GBK" w:cs="Times New Roman"/>
          <w:snapToGrid w:val="0"/>
          <w:kern w:val="0"/>
          <w:sz w:val="28"/>
          <w:szCs w:val="28"/>
        </w:rPr>
        <w:t>市</w:t>
      </w:r>
      <w:r>
        <w:rPr>
          <w:rFonts w:ascii="Times New Roman" w:hAnsi="Times New Roman" w:eastAsia="方正仿宋_GBK" w:cs="Times New Roman"/>
          <w:snapToGrid w:val="0"/>
          <w:kern w:val="0"/>
          <w:sz w:val="28"/>
          <w:szCs w:val="28"/>
        </w:rPr>
        <w:t>退役军人事务局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hint="eastAsia" w:ascii="Times New Roman" w:hAnsi="Times New Roman" w:eastAsia="方正仿宋_GBK" w:cs="Times New Roman"/>
          <w:snapToGrid w:val="0"/>
          <w:kern w:val="0"/>
          <w:sz w:val="28"/>
          <w:szCs w:val="28"/>
        </w:rPr>
        <w:t>市</w:t>
      </w:r>
      <w:r>
        <w:rPr>
          <w:rFonts w:ascii="Times New Roman" w:hAnsi="Times New Roman" w:eastAsia="方正仿宋_GBK" w:cs="Times New Roman"/>
          <w:snapToGrid w:val="0"/>
          <w:kern w:val="0"/>
          <w:sz w:val="28"/>
          <w:szCs w:val="28"/>
        </w:rPr>
        <w:t>应急管理局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市审计局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市国资委</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市行政审批局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市市场监管局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市体育局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市统计局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市医疗保障局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市地方金融监管局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市税务局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宿迁海关</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人民银行宿迁市中心支行</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hint="eastAsia" w:ascii="Times New Roman" w:hAnsi="Times New Roman" w:eastAsia="方正仿宋_GBK" w:cs="Times New Roman"/>
          <w:snapToGrid w:val="0"/>
          <w:kern w:val="0"/>
          <w:sz w:val="28"/>
          <w:szCs w:val="28"/>
        </w:rPr>
        <w:t>市住房</w:t>
      </w:r>
      <w:r>
        <w:rPr>
          <w:rFonts w:ascii="Times New Roman" w:hAnsi="Times New Roman" w:eastAsia="方正仿宋_GBK" w:cs="Times New Roman"/>
          <w:snapToGrid w:val="0"/>
          <w:kern w:val="0"/>
          <w:sz w:val="28"/>
          <w:szCs w:val="28"/>
        </w:rPr>
        <w:t>公积金</w:t>
      </w:r>
      <w:r>
        <w:rPr>
          <w:rFonts w:hint="eastAsia" w:ascii="Times New Roman" w:hAnsi="Times New Roman" w:eastAsia="方正仿宋_GBK" w:cs="Times New Roman"/>
          <w:snapToGrid w:val="0"/>
          <w:kern w:val="0"/>
          <w:sz w:val="28"/>
          <w:szCs w:val="28"/>
        </w:rPr>
        <w:t>管理</w:t>
      </w:r>
      <w:r>
        <w:rPr>
          <w:rFonts w:ascii="Times New Roman" w:hAnsi="Times New Roman" w:eastAsia="方正仿宋_GBK" w:cs="Times New Roman"/>
          <w:snapToGrid w:val="0"/>
          <w:kern w:val="0"/>
          <w:sz w:val="28"/>
          <w:szCs w:val="28"/>
        </w:rPr>
        <w:t>中心</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lang w:eastAsia="zh-CN"/>
        </w:rPr>
      </w:pPr>
      <w:r>
        <w:rPr>
          <w:rFonts w:hint="eastAsia" w:ascii="Times New Roman" w:hAnsi="Times New Roman" w:eastAsia="方正仿宋_GBK" w:cs="Times New Roman"/>
          <w:snapToGrid w:val="0"/>
          <w:kern w:val="0"/>
          <w:sz w:val="28"/>
          <w:szCs w:val="28"/>
        </w:rPr>
        <w:t>市</w:t>
      </w:r>
      <w:r>
        <w:rPr>
          <w:rFonts w:hint="eastAsia" w:cs="Times New Roman"/>
          <w:snapToGrid w:val="0"/>
          <w:kern w:val="0"/>
          <w:sz w:val="28"/>
          <w:szCs w:val="28"/>
          <w:lang w:eastAsia="zh-CN"/>
        </w:rPr>
        <w:t>大数据中心</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hint="eastAsia" w:ascii="Times New Roman" w:hAnsi="Times New Roman" w:eastAsia="方正仿宋_GBK" w:cs="Times New Roman"/>
          <w:snapToGrid w:val="0"/>
          <w:kern w:val="0"/>
          <w:sz w:val="28"/>
          <w:szCs w:val="28"/>
        </w:rPr>
        <w:t>市</w:t>
      </w:r>
      <w:r>
        <w:rPr>
          <w:rFonts w:ascii="Times New Roman" w:hAnsi="Times New Roman" w:eastAsia="方正仿宋_GBK" w:cs="Times New Roman"/>
          <w:snapToGrid w:val="0"/>
          <w:kern w:val="0"/>
          <w:sz w:val="28"/>
          <w:szCs w:val="28"/>
        </w:rPr>
        <w:t>知识产权局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hint="eastAsia" w:ascii="Times New Roman" w:hAnsi="Times New Roman" w:eastAsia="方正仿宋_GBK" w:cs="Times New Roman"/>
          <w:snapToGrid w:val="0"/>
          <w:kern w:val="0"/>
          <w:sz w:val="28"/>
          <w:szCs w:val="28"/>
        </w:rPr>
        <w:t>市</w:t>
      </w:r>
      <w:r>
        <w:rPr>
          <w:rFonts w:ascii="Times New Roman" w:hAnsi="Times New Roman" w:eastAsia="方正仿宋_GBK" w:cs="Times New Roman"/>
          <w:snapToGrid w:val="0"/>
          <w:kern w:val="0"/>
          <w:sz w:val="28"/>
          <w:szCs w:val="28"/>
        </w:rPr>
        <w:t>人民防空办公室</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宿迁银保监分局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市红十字会</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市通信行业管理办公室</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市邮政管理局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市气象局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宿迁石油昆仑燃气有限公司</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宿迁供电公司</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江苏联合水务科技股份有限公司宿迁供水公司</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国家外汇管理局宿迁中心支局</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市烟草公司</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市盐务局（江苏省苏盐连锁宿迁分公司）</w:t>
      </w:r>
    </w:p>
    <w:p>
      <w:pPr>
        <w:autoSpaceDE w:val="0"/>
        <w:autoSpaceDN w:val="0"/>
        <w:snapToGrid w:val="0"/>
        <w:spacing w:line="560" w:lineRule="exact"/>
        <w:ind w:firstLine="1960" w:firstLineChars="700"/>
        <w:rPr>
          <w:rFonts w:hint="eastAsia"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宿迁市残疾人联合会</w:t>
      </w:r>
    </w:p>
    <w:p>
      <w:pPr>
        <w:autoSpaceDE w:val="0"/>
        <w:autoSpaceDN w:val="0"/>
        <w:snapToGrid w:val="0"/>
        <w:spacing w:line="560" w:lineRule="exact"/>
        <w:ind w:firstLine="1960" w:firstLineChars="700"/>
        <w:rPr>
          <w:rFonts w:ascii="Times New Roman" w:hAnsi="Times New Roman" w:eastAsia="方正仿宋_GBK" w:cs="Times New Roman"/>
          <w:snapToGrid w:val="0"/>
          <w:kern w:val="0"/>
          <w:sz w:val="28"/>
          <w:szCs w:val="28"/>
        </w:rPr>
      </w:pPr>
      <w:r>
        <w:rPr>
          <w:rFonts w:ascii="Times New Roman" w:hAnsi="Times New Roman" w:eastAsia="方正仿宋_GBK" w:cs="Times New Roman"/>
          <w:snapToGrid w:val="0"/>
          <w:kern w:val="0"/>
          <w:sz w:val="28"/>
          <w:szCs w:val="28"/>
        </w:rPr>
        <w:t>宿迁市总工会</w:t>
      </w:r>
    </w:p>
    <w:p>
      <w:pPr>
        <w:keepNext w:val="0"/>
        <w:keepLines w:val="0"/>
        <w:pageBreakBefore w:val="0"/>
        <w:widowControl w:val="0"/>
        <w:kinsoku/>
        <w:wordWrap/>
        <w:overflowPunct/>
        <w:topLinePunct w:val="0"/>
        <w:bidi w:val="0"/>
        <w:spacing w:line="560" w:lineRule="exact"/>
        <w:ind w:left="0" w:leftChars="0" w:firstLine="0" w:firstLineChars="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bidi w:val="0"/>
        <w:spacing w:line="560" w:lineRule="exact"/>
        <w:ind w:left="0" w:leftChars="0" w:firstLine="0" w:firstLineChars="0"/>
        <w:textAlignment w:val="auto"/>
        <w:rPr>
          <w:rFonts w:hint="eastAsia" w:asciiTheme="minorEastAsia" w:hAnsiTheme="minorEastAsia" w:eastAsiaTheme="minorEastAsia" w:cstheme="minorEastAsia"/>
          <w:lang w:val="en-US" w:eastAsia="zh-CN"/>
        </w:rPr>
      </w:pPr>
    </w:p>
    <w:p>
      <w:pPr>
        <w:autoSpaceDE w:val="0"/>
        <w:autoSpaceDN w:val="0"/>
        <w:snapToGrid w:val="0"/>
        <w:spacing w:line="560" w:lineRule="exact"/>
        <w:outlineLvl w:val="0"/>
        <w:rPr>
          <w:rFonts w:hint="eastAsia" w:ascii="Times New Roman" w:hAnsi="Times New Roman" w:eastAsia="方正黑体_GBK" w:cs="Times New Roman"/>
          <w:snapToGrid w:val="0"/>
          <w:kern w:val="0"/>
          <w:sz w:val="32"/>
          <w:szCs w:val="20"/>
          <w:lang w:val="en-US" w:eastAsia="zh-CN"/>
        </w:rPr>
      </w:pPr>
      <w:r>
        <w:rPr>
          <w:rFonts w:hint="eastAsia" w:ascii="Times New Roman" w:hAnsi="Times New Roman" w:eastAsia="方正黑体_GBK" w:cs="Times New Roman"/>
          <w:snapToGrid w:val="0"/>
          <w:kern w:val="0"/>
          <w:sz w:val="32"/>
          <w:szCs w:val="20"/>
          <w:lang w:val="en-US" w:eastAsia="zh-CN"/>
        </w:rPr>
        <w:t>附件2：</w:t>
      </w:r>
    </w:p>
    <w:p>
      <w:pPr>
        <w:keepNext w:val="0"/>
        <w:keepLines w:val="0"/>
        <w:pageBreakBefore w:val="0"/>
        <w:widowControl w:val="0"/>
        <w:kinsoku/>
        <w:wordWrap/>
        <w:overflowPunct/>
        <w:topLinePunct w:val="0"/>
        <w:bidi w:val="0"/>
        <w:spacing w:line="560" w:lineRule="exact"/>
        <w:ind w:firstLine="720" w:firstLineChars="200"/>
        <w:jc w:val="center"/>
        <w:textAlignment w:val="auto"/>
        <w:rPr>
          <w:rFonts w:hint="eastAsia" w:ascii="方正小标宋_GBK" w:eastAsia="方正小标宋_GBK"/>
          <w:sz w:val="36"/>
          <w:szCs w:val="36"/>
          <w:lang w:eastAsia="zh-CN"/>
        </w:rPr>
      </w:pPr>
    </w:p>
    <w:p>
      <w:pPr>
        <w:keepNext w:val="0"/>
        <w:keepLines w:val="0"/>
        <w:pageBreakBefore w:val="0"/>
        <w:widowControl w:val="0"/>
        <w:kinsoku/>
        <w:wordWrap/>
        <w:overflowPunct/>
        <w:topLinePunct w:val="0"/>
        <w:bidi w:val="0"/>
        <w:spacing w:line="560" w:lineRule="exact"/>
        <w:ind w:firstLine="720" w:firstLineChars="200"/>
        <w:jc w:val="center"/>
        <w:textAlignment w:val="auto"/>
        <w:outlineLvl w:val="0"/>
        <w:rPr>
          <w:rFonts w:hint="eastAsia" w:ascii="方正小标宋_GBK" w:eastAsia="方正小标宋_GBK"/>
          <w:sz w:val="36"/>
          <w:szCs w:val="36"/>
          <w:lang w:eastAsia="zh-CN"/>
        </w:rPr>
      </w:pPr>
      <w:r>
        <w:rPr>
          <w:rFonts w:hint="eastAsia" w:ascii="方正小标宋_GBK" w:eastAsia="方正小标宋_GBK"/>
          <w:sz w:val="36"/>
          <w:szCs w:val="36"/>
          <w:lang w:eastAsia="zh-CN"/>
        </w:rPr>
        <w:t>宿迁市政务涉税费数据共享目录</w:t>
      </w:r>
    </w:p>
    <w:p>
      <w:pPr>
        <w:autoSpaceDE w:val="0"/>
        <w:autoSpaceDN w:val="0"/>
        <w:snapToGrid w:val="0"/>
        <w:spacing w:line="240" w:lineRule="atLeast"/>
        <w:ind w:firstLine="0"/>
        <w:rPr>
          <w:rFonts w:hint="eastAsia" w:ascii="Times New Roman" w:hAnsi="Times New Roman" w:eastAsia="方正仿宋_GBK" w:cs="Times New Roman"/>
          <w:snapToGrid w:val="0"/>
          <w:color w:val="000000"/>
          <w:kern w:val="0"/>
          <w:sz w:val="24"/>
          <w:szCs w:val="24"/>
          <w:lang w:val="en-US" w:eastAsia="zh-CN" w:bidi="ar"/>
        </w:rPr>
      </w:pPr>
    </w:p>
    <w:p>
      <w:pPr>
        <w:autoSpaceDE w:val="0"/>
        <w:autoSpaceDN w:val="0"/>
        <w:snapToGrid w:val="0"/>
        <w:spacing w:line="240" w:lineRule="atLeast"/>
        <w:ind w:firstLine="0"/>
        <w:rPr>
          <w:rFonts w:ascii="Times New Roman" w:hAnsi="Times New Roman" w:eastAsia="方正仿宋_GBK" w:cs="Times New Roman"/>
          <w:snapToGrid w:val="0"/>
          <w:color w:val="000000"/>
          <w:kern w:val="0"/>
          <w:sz w:val="24"/>
          <w:szCs w:val="24"/>
          <w:lang w:bidi="ar"/>
        </w:rPr>
      </w:pPr>
    </w:p>
    <w:tbl>
      <w:tblPr>
        <w:tblStyle w:val="12"/>
        <w:tblW w:w="87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3"/>
        <w:gridCol w:w="1625"/>
        <w:gridCol w:w="350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13" w:type="dxa"/>
            <w:tcBorders>
              <w:top w:val="single" w:color="000000" w:sz="8" w:space="0"/>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b/>
                <w:bCs/>
                <w:snapToGrid w:val="0"/>
                <w:color w:val="000000"/>
                <w:kern w:val="0"/>
                <w:sz w:val="24"/>
                <w:szCs w:val="24"/>
                <w:lang w:val="en-US" w:eastAsia="zh-CN" w:bidi="ar"/>
              </w:rPr>
            </w:pPr>
            <w:r>
              <w:rPr>
                <w:rFonts w:hint="eastAsia" w:ascii="Times New Roman" w:hAnsi="Times New Roman" w:eastAsia="方正仿宋_GBK" w:cs="Times New Roman"/>
                <w:b/>
                <w:bCs/>
                <w:snapToGrid w:val="0"/>
                <w:color w:val="000000"/>
                <w:kern w:val="0"/>
                <w:sz w:val="24"/>
                <w:szCs w:val="24"/>
                <w:lang w:val="en-US" w:eastAsia="zh-CN" w:bidi="ar"/>
              </w:rPr>
              <w:t>序号</w:t>
            </w:r>
          </w:p>
        </w:tc>
        <w:tc>
          <w:tcPr>
            <w:tcW w:w="1625" w:type="dxa"/>
            <w:tcBorders>
              <w:top w:val="single" w:color="000000" w:sz="8" w:space="0"/>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b/>
                <w:bCs/>
                <w:snapToGrid w:val="0"/>
                <w:color w:val="000000"/>
                <w:kern w:val="0"/>
                <w:sz w:val="24"/>
                <w:szCs w:val="24"/>
                <w:lang w:val="en-US" w:eastAsia="zh-CN" w:bidi="ar"/>
              </w:rPr>
            </w:pPr>
            <w:r>
              <w:rPr>
                <w:rFonts w:hint="eastAsia" w:ascii="Times New Roman" w:hAnsi="Times New Roman" w:eastAsia="方正仿宋_GBK" w:cs="Times New Roman"/>
                <w:b/>
                <w:bCs/>
                <w:snapToGrid w:val="0"/>
                <w:color w:val="000000"/>
                <w:kern w:val="0"/>
                <w:sz w:val="24"/>
                <w:szCs w:val="24"/>
                <w:lang w:val="en-US" w:eastAsia="zh-CN" w:bidi="ar"/>
              </w:rPr>
              <w:t>责任单位</w:t>
            </w:r>
          </w:p>
        </w:tc>
        <w:tc>
          <w:tcPr>
            <w:tcW w:w="3500" w:type="dxa"/>
            <w:tcBorders>
              <w:top w:val="single" w:color="000000" w:sz="8" w:space="0"/>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b/>
                <w:bCs/>
                <w:snapToGrid w:val="0"/>
                <w:color w:val="000000"/>
                <w:kern w:val="0"/>
                <w:sz w:val="24"/>
                <w:szCs w:val="24"/>
                <w:lang w:val="en-US" w:eastAsia="zh-CN" w:bidi="ar"/>
              </w:rPr>
            </w:pPr>
            <w:r>
              <w:rPr>
                <w:rFonts w:hint="eastAsia" w:ascii="Times New Roman" w:hAnsi="Times New Roman" w:eastAsia="方正仿宋_GBK" w:cs="Times New Roman"/>
                <w:b/>
                <w:bCs/>
                <w:snapToGrid w:val="0"/>
                <w:color w:val="000000"/>
                <w:kern w:val="0"/>
                <w:sz w:val="24"/>
                <w:szCs w:val="24"/>
                <w:lang w:val="en-US" w:eastAsia="zh-CN" w:bidi="ar"/>
              </w:rPr>
              <w:t>共享的涉税信息名称</w:t>
            </w:r>
          </w:p>
        </w:tc>
        <w:tc>
          <w:tcPr>
            <w:tcW w:w="2775" w:type="dxa"/>
            <w:tcBorders>
              <w:top w:val="single" w:color="000000" w:sz="8" w:space="0"/>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b/>
                <w:bCs/>
                <w:snapToGrid w:val="0"/>
                <w:color w:val="000000"/>
                <w:kern w:val="0"/>
                <w:sz w:val="24"/>
                <w:szCs w:val="24"/>
                <w:lang w:val="en-US" w:eastAsia="zh-CN" w:bidi="ar"/>
              </w:rPr>
            </w:pPr>
            <w:r>
              <w:rPr>
                <w:rFonts w:hint="eastAsia" w:ascii="Times New Roman" w:hAnsi="Times New Roman" w:eastAsia="方正仿宋_GBK" w:cs="Times New Roman"/>
                <w:b/>
                <w:bCs/>
                <w:snapToGrid w:val="0"/>
                <w:color w:val="000000"/>
                <w:kern w:val="0"/>
                <w:sz w:val="24"/>
                <w:szCs w:val="24"/>
                <w:lang w:val="en-US" w:eastAsia="zh-CN" w:bidi="ar"/>
              </w:rPr>
              <w:t>共享方式及交换频率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发展改革委</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投资项目审批信息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建筑工程项目（房地产开发项目）立项信息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保障性住房审批信息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成品油生产企业项目核准、备案和变更信息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成品油生产、委托加工审批信息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石油开采立项审批信息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发电企业立项审批信息，企业自备电厂立项审批信息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承担政府商品储备企业名单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公益性收费、政府定价的经营服务性收费项目及收费标准调整情况</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年检合格的创业投资企业名单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取消备案的创业投资企业名单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企业投资项目备案信息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13</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教育局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新成立办学机构的审批信息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办学变更信息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普通高中、义务教育阶段、学前教育阶段学校名单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16</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校园安全工程审批信息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学籍信息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18</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技能人员、专业技术人员职业资格和继续教育等信息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产教融合企业信息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20</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科技局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提供省级以上孵化器、大学科技园、国家备案众创空间等信息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科技政策奖励信息、市级科技计划项目信息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技术先进型服务企业、高新技术企业、科技型中小企业等信息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23</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工业和信息化局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投资、产业，政府招标投标，建设资金投入、工程款拨付、企业投资项目备案信息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工业企业评级信息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企业自备电厂信息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定期共享：每年终了后21日内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26</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工业固体废物综合利用量信息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智改数转企业名单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28</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公安局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涉税个人身份及户籍人口信息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29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纳税人缴费人或者有关涉案人员联系电话、身份证明信息、居住情况、家庭户籍情况、出入境情况等信息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30</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外籍人员出入境信息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个人所得税专项附加扣除信息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32</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司法局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律师事务所、公证处注册信息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执业律师信息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社会组织等登记信息及司法涉案信息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35</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民政局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社会福利机构备案信息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36</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企业事业单位、社会组织等登记信息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婚姻状况信息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38</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财政局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财政性资金、行政奖励、优惠等信息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39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各财政拔款单位残保金年度预算信息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40</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人力资源社会保障局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单位和个人参保登记、变更、终止明细信息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定期共享：每月终了后10日内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企业吸纳就业失业登记人员就业失业信息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有关技工院校学生学籍信息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有关专业技术人员继续教育信息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劳务派遣单位行政许可信息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自然人就业、创业、失业登记信息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46</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自然资源和规划局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国有土地使用权出让、转让信息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纳税人家庭住房登记信息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48</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不动产单元代码在内的相关登记、办税信息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49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建设项目规划许可信息、建设项目规划核实验收信息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50</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农用地转用信息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土地复垦信息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经批准临时占地信息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未批先占农用地查处信息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最新宗地地籍（电子）信息（包括宗地属性和空间信息）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权属纠纷裁决责令交还土地、恢复原状、收回国有土地使用权等行政处理信息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56</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土地闲置费核定的费源信息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矿产资源专项收入信息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58</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生态环境局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危险废物经营许可信息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59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核发的排污许可证信息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60</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污染源监督性监测数据</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违法、违规行为的处罚信息并标注是否属于严重环境违法行为</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排污权出让信息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63</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住房和城乡建设局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房屋征收（搬迁）补偿信息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商品房交付使用备案信息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房地产交易合同网签备案信息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66</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房地产开发项目商品房预售许可证及房源明细表</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新建商品房现售备案信息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68</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保障房项目、房地产市场成交情况统计表</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69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noWrap/>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建筑工地扬尘处罚信息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70</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本地区住房租赁企业、专业化规模化住房租赁企业名单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保障性租赁住房项目认定书信息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72</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交通运输局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车辆营运证、船舶营运证发放、变更、注销和检验信息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船舶登记、年审信息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城市公共交通管理部门与城市公交企业名录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定期共享：每月终了后10日内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75</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水利局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年取用水计划</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76</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实际取用水量</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超计划（定额）取用水量</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78</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防洪、排涝、灌溉、引（供）水、水土保持等各类水利工程及其配套和附属工程的建筑物、构筑物占压地和经批准的管理范围内用地等信息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79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水土保持补偿费费源核定信息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80</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农业农村局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渔业养殖权证发放信息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81</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商务局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企业外出劳务、承包工程信息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跨境交易、股权转让、资本募集、证券投资等信息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再生资源回收经营者备案信息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报废机动车回收拆解企业资质认定信息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成品油流通信息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86</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文化广电和旅游局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营业性文艺演出信息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演职人员、经纪公司、演出合同等信息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88</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卫生健康委员会</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出生医学证明信息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89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独生子女信息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90</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新增医疗机构执业登记、变更登记、注销信息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营利性和非营利性医疗机构的核定信息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92</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行政审批局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提供建筑施工工程许可信息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药品经营许可证发放信息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政府集中招标采购项目相关信息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定期共享：每半年终了后20日内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95</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退役军人事务局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自主就业退役士兵信息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96</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应急管理局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重大生产安全事故清单信息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97</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市场监督管理局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市场主体开业、变更、注销登记信息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定期共享：每月终了后10日内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98</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集团公司及变更信息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定期共享：每月终了后10日内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99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股权变更登记信息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100</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注册资本变更信息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101</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体育局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商业性体育比赛信息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102</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医疗保障局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单位和个人医保登记和征集明细信息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参保登记的新增、变更、终止信息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在医疗保障信息系统记录的个人负担医药费用信息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按需提供（省局授权）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医保定点药店刷卡销售信息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按需提供（省局授权）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106</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医保定点医疗机构刷卡销售信息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按需提供（省局授权）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个人所得税专项附加扣除有关大病医疗专项附加扣除信息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108</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地方金融监督管理局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处于上市后备企业名单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109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辅导期拟上市企业名单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110</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已申报拟上市企业名单</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上市公司企业名单及相关信息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金融服务许可信息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跨境交易、股权转让、资本募集、证券投信息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114</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上市公司限售股解禁信息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个人所得税专项附加扣除有关住房商业贷款还款支出信息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116</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宿迁海关</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进出口统计信息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定期共享：每月终了后25日内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117</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进口汽、柴油的成品油进口信息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118</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人民银行</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提供税收、社会保险费和非税收入入库流水及收入报表信息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119</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住房公积金管理中心</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住房公积金贷款还款支出信息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120</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知识产权局</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技术改造、专利转让登记以及其他技术转让，省级以上孵化器、大学科技园、国家备案众创空间等信息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121</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人民防空办公室</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房地产项目中依法配建的防空地下室行政许可以及竣工验收信息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122</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人防易地建设费的收费依据、实际收费及退还等信息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防空地下室易地建设费核定的费源信息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124</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银行等金融机构</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纳税人缴费人、扣缴义务人或者社会保险费欠费的用人单位在银行或者其他金融机构的存款账户开设情况</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125</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个人所得税专项附加扣除有关住房商业贷款还款支出信息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126</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红十字会</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捐赠信息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127</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宿迁石油昆仑燃气有限公司</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与市场主体相关的用气信息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定期共享：每年终了后20日内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128</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国网宿迁供电公司</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与市场主体相关的用电信息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129</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发电企业上网电量、自用电量，代收相关费款</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按需提供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130</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江苏联合水务科技股份有限公司宿迁供水公司</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与市场主体相关的用水信息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131</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代征城镇垃圾处理费征收信息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132</w:t>
            </w:r>
          </w:p>
        </w:tc>
        <w:tc>
          <w:tcPr>
            <w:tcW w:w="1625" w:type="dxa"/>
            <w:vMerge w:val="restart"/>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残疾人联合会</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残疾人证发放信息</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实时共享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133</w:t>
            </w:r>
          </w:p>
        </w:tc>
        <w:tc>
          <w:tcPr>
            <w:tcW w:w="1625" w:type="dxa"/>
            <w:vMerge w:val="continue"/>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用人单位实际安排的残疾人就业人数</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定期共享：每月终了后20日内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13" w:type="dxa"/>
            <w:tcBorders>
              <w:top w:val="nil"/>
              <w:left w:val="single" w:color="000000" w:sz="8" w:space="0"/>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134</w:t>
            </w:r>
          </w:p>
        </w:tc>
        <w:tc>
          <w:tcPr>
            <w:tcW w:w="162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center"/>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宿迁市总工会</w:t>
            </w:r>
          </w:p>
        </w:tc>
        <w:tc>
          <w:tcPr>
            <w:tcW w:w="3500"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工会部门有关筹建和新建工会单位</w:t>
            </w:r>
          </w:p>
        </w:tc>
        <w:tc>
          <w:tcPr>
            <w:tcW w:w="2775" w:type="dxa"/>
            <w:tcBorders>
              <w:top w:val="nil"/>
              <w:left w:val="nil"/>
              <w:bottom w:val="single" w:color="000000" w:sz="8" w:space="0"/>
              <w:right w:val="single" w:color="000000" w:sz="8" w:space="0"/>
            </w:tcBorders>
            <w:shd w:val="clear" w:color="auto" w:fill="auto"/>
            <w:vAlign w:val="center"/>
          </w:tcPr>
          <w:p>
            <w:pPr>
              <w:autoSpaceDE w:val="0"/>
              <w:autoSpaceDN w:val="0"/>
              <w:snapToGrid w:val="0"/>
              <w:spacing w:line="240" w:lineRule="atLeast"/>
              <w:ind w:firstLine="0"/>
              <w:jc w:val="both"/>
              <w:rPr>
                <w:rFonts w:hint="eastAsia" w:ascii="Times New Roman" w:hAnsi="Times New Roman" w:eastAsia="方正仿宋_GBK" w:cs="Times New Roman"/>
                <w:snapToGrid w:val="0"/>
                <w:color w:val="000000"/>
                <w:kern w:val="0"/>
                <w:sz w:val="24"/>
                <w:szCs w:val="24"/>
                <w:lang w:val="en-US" w:eastAsia="zh-CN" w:bidi="ar"/>
              </w:rPr>
            </w:pPr>
            <w:r>
              <w:rPr>
                <w:rFonts w:hint="eastAsia" w:ascii="Times New Roman" w:hAnsi="Times New Roman" w:eastAsia="方正仿宋_GBK" w:cs="Times New Roman"/>
                <w:snapToGrid w:val="0"/>
                <w:color w:val="000000"/>
                <w:kern w:val="0"/>
                <w:sz w:val="24"/>
                <w:szCs w:val="24"/>
                <w:lang w:val="en-US" w:eastAsia="zh-CN" w:bidi="ar"/>
              </w:rPr>
              <w:t>定期共享：每季终了后20日内</w:t>
            </w:r>
          </w:p>
        </w:tc>
      </w:tr>
    </w:tbl>
    <w:p>
      <w:pPr>
        <w:autoSpaceDE w:val="0"/>
        <w:autoSpaceDN w:val="0"/>
        <w:snapToGrid w:val="0"/>
        <w:spacing w:line="240" w:lineRule="atLeast"/>
        <w:ind w:firstLine="0"/>
        <w:rPr>
          <w:rFonts w:ascii="Times New Roman" w:hAnsi="Times New Roman" w:eastAsia="方正仿宋_GBK" w:cs="Times New Roman"/>
          <w:snapToGrid w:val="0"/>
          <w:color w:val="000000"/>
          <w:kern w:val="0"/>
          <w:sz w:val="24"/>
          <w:szCs w:val="24"/>
          <w:lang w:bidi="ar"/>
        </w:rPr>
      </w:pPr>
    </w:p>
    <w:p>
      <w:pPr>
        <w:autoSpaceDE w:val="0"/>
        <w:autoSpaceDN w:val="0"/>
        <w:snapToGrid w:val="0"/>
        <w:spacing w:line="240" w:lineRule="atLeast"/>
        <w:ind w:firstLine="0"/>
        <w:rPr>
          <w:rFonts w:hint="eastAsia" w:ascii="Times New Roman" w:hAnsi="Times New Roman" w:eastAsia="方正仿宋_GBK" w:cs="Times New Roman"/>
          <w:snapToGrid w:val="0"/>
          <w:color w:val="000000"/>
          <w:kern w:val="0"/>
          <w:sz w:val="24"/>
          <w:szCs w:val="24"/>
          <w:lang w:val="en-US" w:eastAsia="zh-CN" w:bidi="ar"/>
        </w:rPr>
      </w:pPr>
    </w:p>
    <w:p>
      <w:pPr>
        <w:autoSpaceDE w:val="0"/>
        <w:autoSpaceDN w:val="0"/>
        <w:snapToGrid w:val="0"/>
        <w:spacing w:line="240" w:lineRule="atLeast"/>
        <w:ind w:firstLine="0"/>
        <w:rPr>
          <w:rFonts w:ascii="Times New Roman" w:hAnsi="Times New Roman" w:eastAsia="方正仿宋_GBK" w:cs="Times New Roman"/>
          <w:snapToGrid w:val="0"/>
          <w:color w:val="000000"/>
          <w:kern w:val="0"/>
          <w:sz w:val="24"/>
          <w:szCs w:val="24"/>
          <w:lang w:bidi="ar"/>
        </w:rPr>
      </w:pPr>
    </w:p>
    <w:p>
      <w:pPr>
        <w:pStyle w:val="2"/>
        <w:shd w:val="clear"/>
        <w:adjustRightInd w:val="0"/>
        <w:spacing w:line="560" w:lineRule="exact"/>
        <w:ind w:firstLine="640" w:firstLineChars="200"/>
        <w:rPr>
          <w:rFonts w:hint="default" w:ascii="Times New Roman" w:hAnsi="Times New Roman" w:eastAsia="黑体" w:cs="Times New Roman"/>
          <w:sz w:val="32"/>
          <w:szCs w:val="32"/>
        </w:rPr>
      </w:pPr>
    </w:p>
    <w:sectPr>
      <w:footerReference r:id="rId3" w:type="default"/>
      <w:footerReference r:id="rId4" w:type="even"/>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公文小标宋">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5175"/>
      <w:docPartObj>
        <w:docPartGallery w:val="autotext"/>
      </w:docPartObj>
    </w:sdtPr>
    <w:sdtEndPr>
      <w:rPr>
        <w:rFonts w:ascii="Times New Roman" w:hAnsi="Times New Roman" w:cs="Times New Roman"/>
        <w:sz w:val="24"/>
        <w:szCs w:val="24"/>
      </w:rPr>
    </w:sdtEndPr>
    <w:sdtContent>
      <w:p>
        <w:pPr>
          <w:pStyle w:val="8"/>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765184"/>
        <w:docPartObj>
          <w:docPartGallery w:val="autotext"/>
        </w:docPartObj>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B749D"/>
    <w:multiLevelType w:val="singleLevel"/>
    <w:tmpl w:val="8CFB749D"/>
    <w:lvl w:ilvl="0" w:tentative="0">
      <w:start w:val="1"/>
      <w:numFmt w:val="chineseCounting"/>
      <w:suff w:val="nothing"/>
      <w:lvlText w:val="第%1条 "/>
      <w:lvlJc w:val="left"/>
      <w:pPr>
        <w:tabs>
          <w:tab w:val="left" w:pos="0"/>
        </w:tabs>
        <w:ind w:left="0" w:firstLine="420"/>
      </w:pPr>
      <w:rPr>
        <w:rFonts w:hint="eastAsia" w:ascii="黑体" w:hAnsi="黑体" w:eastAsia="黑体" w:cs="黑体"/>
        <w:b w:val="0"/>
        <w:bCs w:val="0"/>
        <w:color w:val="auto"/>
        <w:sz w:val="32"/>
        <w:szCs w:val="32"/>
      </w:rPr>
    </w:lvl>
  </w:abstractNum>
  <w:abstractNum w:abstractNumId="1">
    <w:nsid w:val="94427C98"/>
    <w:multiLevelType w:val="singleLevel"/>
    <w:tmpl w:val="94427C98"/>
    <w:lvl w:ilvl="0" w:tentative="0">
      <w:start w:val="1"/>
      <w:numFmt w:val="chineseCounting"/>
      <w:suff w:val="space"/>
      <w:lvlText w:val="第%1章"/>
      <w:lvlJc w:val="left"/>
      <w:rPr>
        <w:rFonts w:hint="eastAsia"/>
      </w:rPr>
    </w:lvl>
  </w:abstractNum>
  <w:abstractNum w:abstractNumId="2">
    <w:nsid w:val="6F6391CA"/>
    <w:multiLevelType w:val="singleLevel"/>
    <w:tmpl w:val="6F6391CA"/>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5NGQ3NzczOWM0NTY0MzFmNTgxZmJkYWViZjhiZmQifQ=="/>
  </w:docVars>
  <w:rsids>
    <w:rsidRoot w:val="00162EAA"/>
    <w:rsid w:val="000075B5"/>
    <w:rsid w:val="00027436"/>
    <w:rsid w:val="00027B46"/>
    <w:rsid w:val="000857F0"/>
    <w:rsid w:val="000E5F0B"/>
    <w:rsid w:val="001234E2"/>
    <w:rsid w:val="00151D64"/>
    <w:rsid w:val="00161EAA"/>
    <w:rsid w:val="00162EAA"/>
    <w:rsid w:val="00171822"/>
    <w:rsid w:val="001822A5"/>
    <w:rsid w:val="001D58B8"/>
    <w:rsid w:val="001E1888"/>
    <w:rsid w:val="002049A5"/>
    <w:rsid w:val="00216386"/>
    <w:rsid w:val="00221637"/>
    <w:rsid w:val="00255C9F"/>
    <w:rsid w:val="00377A31"/>
    <w:rsid w:val="00387352"/>
    <w:rsid w:val="003974B2"/>
    <w:rsid w:val="003A3FB4"/>
    <w:rsid w:val="003B2C29"/>
    <w:rsid w:val="003F6EC3"/>
    <w:rsid w:val="00423BBD"/>
    <w:rsid w:val="00467000"/>
    <w:rsid w:val="00467210"/>
    <w:rsid w:val="004751D3"/>
    <w:rsid w:val="0047703C"/>
    <w:rsid w:val="00480450"/>
    <w:rsid w:val="004B50EC"/>
    <w:rsid w:val="004E21E8"/>
    <w:rsid w:val="004E26B8"/>
    <w:rsid w:val="004E339F"/>
    <w:rsid w:val="00507C4E"/>
    <w:rsid w:val="00533C84"/>
    <w:rsid w:val="0054048B"/>
    <w:rsid w:val="005869E0"/>
    <w:rsid w:val="005C4379"/>
    <w:rsid w:val="006038C2"/>
    <w:rsid w:val="00630980"/>
    <w:rsid w:val="00630AB5"/>
    <w:rsid w:val="006445E4"/>
    <w:rsid w:val="0066142A"/>
    <w:rsid w:val="0067333C"/>
    <w:rsid w:val="0069507C"/>
    <w:rsid w:val="006C6E57"/>
    <w:rsid w:val="006E02CB"/>
    <w:rsid w:val="007076A3"/>
    <w:rsid w:val="00711C1F"/>
    <w:rsid w:val="00752260"/>
    <w:rsid w:val="007741E5"/>
    <w:rsid w:val="00784046"/>
    <w:rsid w:val="007A1A3B"/>
    <w:rsid w:val="007B35A9"/>
    <w:rsid w:val="007B6470"/>
    <w:rsid w:val="007D2493"/>
    <w:rsid w:val="0080476B"/>
    <w:rsid w:val="0083042C"/>
    <w:rsid w:val="0083646A"/>
    <w:rsid w:val="00866C2D"/>
    <w:rsid w:val="00876CB6"/>
    <w:rsid w:val="0089225B"/>
    <w:rsid w:val="008A5146"/>
    <w:rsid w:val="008B5F50"/>
    <w:rsid w:val="008C60EF"/>
    <w:rsid w:val="008D7429"/>
    <w:rsid w:val="0096728D"/>
    <w:rsid w:val="00986545"/>
    <w:rsid w:val="00997B79"/>
    <w:rsid w:val="009A0C22"/>
    <w:rsid w:val="009A4E5F"/>
    <w:rsid w:val="00A031FE"/>
    <w:rsid w:val="00A11271"/>
    <w:rsid w:val="00A40F87"/>
    <w:rsid w:val="00A50C8B"/>
    <w:rsid w:val="00A6067B"/>
    <w:rsid w:val="00AD704C"/>
    <w:rsid w:val="00AE7097"/>
    <w:rsid w:val="00B945B4"/>
    <w:rsid w:val="00BB6791"/>
    <w:rsid w:val="00BC7D25"/>
    <w:rsid w:val="00BE232C"/>
    <w:rsid w:val="00BF2E16"/>
    <w:rsid w:val="00C23F90"/>
    <w:rsid w:val="00C44E2F"/>
    <w:rsid w:val="00C90AF9"/>
    <w:rsid w:val="00CA7A37"/>
    <w:rsid w:val="00CC6FE6"/>
    <w:rsid w:val="00CE347B"/>
    <w:rsid w:val="00D11BC7"/>
    <w:rsid w:val="00D34A8E"/>
    <w:rsid w:val="00D67851"/>
    <w:rsid w:val="00D84233"/>
    <w:rsid w:val="00D863EA"/>
    <w:rsid w:val="00DA6827"/>
    <w:rsid w:val="00DD6094"/>
    <w:rsid w:val="00DD7C89"/>
    <w:rsid w:val="00E76174"/>
    <w:rsid w:val="00EC43CB"/>
    <w:rsid w:val="00F0682D"/>
    <w:rsid w:val="00F22742"/>
    <w:rsid w:val="00F35E90"/>
    <w:rsid w:val="00F62C9B"/>
    <w:rsid w:val="00FB1E21"/>
    <w:rsid w:val="00FB559A"/>
    <w:rsid w:val="00FC50B9"/>
    <w:rsid w:val="00FD473C"/>
    <w:rsid w:val="04E65048"/>
    <w:rsid w:val="06062903"/>
    <w:rsid w:val="07342BEA"/>
    <w:rsid w:val="085E53BC"/>
    <w:rsid w:val="0B60692F"/>
    <w:rsid w:val="0C306ABF"/>
    <w:rsid w:val="0E323572"/>
    <w:rsid w:val="11B61DC5"/>
    <w:rsid w:val="14DF1632"/>
    <w:rsid w:val="157F52EF"/>
    <w:rsid w:val="15E72160"/>
    <w:rsid w:val="160F7CF5"/>
    <w:rsid w:val="17D718EF"/>
    <w:rsid w:val="18606CDD"/>
    <w:rsid w:val="18E62C53"/>
    <w:rsid w:val="18E7287C"/>
    <w:rsid w:val="1A38012B"/>
    <w:rsid w:val="1A524E42"/>
    <w:rsid w:val="1BE97F6A"/>
    <w:rsid w:val="1CF41996"/>
    <w:rsid w:val="1D040B28"/>
    <w:rsid w:val="266A3466"/>
    <w:rsid w:val="28D51703"/>
    <w:rsid w:val="29AC42AB"/>
    <w:rsid w:val="2C2B2304"/>
    <w:rsid w:val="2C4045C6"/>
    <w:rsid w:val="2C5126B3"/>
    <w:rsid w:val="2D0960AE"/>
    <w:rsid w:val="2E602B23"/>
    <w:rsid w:val="2EA508A1"/>
    <w:rsid w:val="2F272BA7"/>
    <w:rsid w:val="313F011B"/>
    <w:rsid w:val="33D262E2"/>
    <w:rsid w:val="36CD3B26"/>
    <w:rsid w:val="385B033F"/>
    <w:rsid w:val="386A2821"/>
    <w:rsid w:val="38FE5C7B"/>
    <w:rsid w:val="394C3C2B"/>
    <w:rsid w:val="39533DC4"/>
    <w:rsid w:val="3A192D6D"/>
    <w:rsid w:val="3A8F74D3"/>
    <w:rsid w:val="3B2B0C6F"/>
    <w:rsid w:val="3C2F32B7"/>
    <w:rsid w:val="3C9526B2"/>
    <w:rsid w:val="3D8F1EC0"/>
    <w:rsid w:val="3E114F2F"/>
    <w:rsid w:val="3FCE1C30"/>
    <w:rsid w:val="3FD336C6"/>
    <w:rsid w:val="3FDA0E5C"/>
    <w:rsid w:val="40034CA7"/>
    <w:rsid w:val="43FD2643"/>
    <w:rsid w:val="44621558"/>
    <w:rsid w:val="475A5D03"/>
    <w:rsid w:val="49C56D12"/>
    <w:rsid w:val="4A1B0451"/>
    <w:rsid w:val="4A2B1A9A"/>
    <w:rsid w:val="4C8A453E"/>
    <w:rsid w:val="4E8A54AE"/>
    <w:rsid w:val="4FCF01DE"/>
    <w:rsid w:val="50162F74"/>
    <w:rsid w:val="51724B3E"/>
    <w:rsid w:val="519D653C"/>
    <w:rsid w:val="51B32FD7"/>
    <w:rsid w:val="555C6274"/>
    <w:rsid w:val="564B241C"/>
    <w:rsid w:val="56910E4C"/>
    <w:rsid w:val="57F15172"/>
    <w:rsid w:val="5A1B7FE4"/>
    <w:rsid w:val="5C465811"/>
    <w:rsid w:val="5D994ABF"/>
    <w:rsid w:val="5E314142"/>
    <w:rsid w:val="604162CA"/>
    <w:rsid w:val="60E661F1"/>
    <w:rsid w:val="613E1B7E"/>
    <w:rsid w:val="63B95340"/>
    <w:rsid w:val="64470EFF"/>
    <w:rsid w:val="64F62D62"/>
    <w:rsid w:val="67782AB4"/>
    <w:rsid w:val="67884FC0"/>
    <w:rsid w:val="6BB86E75"/>
    <w:rsid w:val="6C242F87"/>
    <w:rsid w:val="6EDB7C69"/>
    <w:rsid w:val="6F26143E"/>
    <w:rsid w:val="70C04FE9"/>
    <w:rsid w:val="71397543"/>
    <w:rsid w:val="718A6D9B"/>
    <w:rsid w:val="734E7EAB"/>
    <w:rsid w:val="747F7C1F"/>
    <w:rsid w:val="74E1073D"/>
    <w:rsid w:val="779F27B1"/>
    <w:rsid w:val="78FC3844"/>
    <w:rsid w:val="7BCB16EA"/>
    <w:rsid w:val="7DA04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line="560" w:lineRule="exact"/>
      <w:ind w:firstLine="680" w:firstLineChars="200"/>
    </w:pPr>
    <w:rPr>
      <w:rFonts w:ascii="Times New Roman" w:hAnsi="Times New Roman" w:eastAsia="方正仿宋_GBK" w:cs="Arial"/>
      <w:sz w:val="32"/>
      <w:szCs w:val="32"/>
    </w:rPr>
  </w:style>
  <w:style w:type="paragraph" w:styleId="4">
    <w:name w:val="annotation text"/>
    <w:basedOn w:val="1"/>
    <w:semiHidden/>
    <w:unhideWhenUsed/>
    <w:qFormat/>
    <w:uiPriority w:val="99"/>
    <w:pPr>
      <w:jc w:val="left"/>
    </w:pPr>
  </w:style>
  <w:style w:type="paragraph" w:styleId="5">
    <w:name w:val="Body Text 3"/>
    <w:basedOn w:val="1"/>
    <w:link w:val="28"/>
    <w:semiHidden/>
    <w:qFormat/>
    <w:uiPriority w:val="0"/>
    <w:pPr>
      <w:spacing w:line="560" w:lineRule="atLeast"/>
      <w:ind w:right="-544" w:rightChars="-259"/>
    </w:pPr>
    <w:rPr>
      <w:rFonts w:ascii="黑体" w:hAnsi="Times New Roman" w:eastAsia="黑体" w:cs="Times New Roman"/>
      <w:sz w:val="24"/>
      <w:szCs w:val="24"/>
    </w:rPr>
  </w:style>
  <w:style w:type="paragraph" w:styleId="6">
    <w:name w:val="Plain Text"/>
    <w:basedOn w:val="1"/>
    <w:qFormat/>
    <w:uiPriority w:val="0"/>
    <w:rPr>
      <w:rFonts w:ascii="宋体" w:hAnsi="Courier New"/>
      <w:sz w:val="20"/>
      <w:szCs w:val="21"/>
    </w:rPr>
  </w:style>
  <w:style w:type="paragraph" w:styleId="7">
    <w:name w:val="Balloon Text"/>
    <w:basedOn w:val="1"/>
    <w:link w:val="26"/>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9"/>
    <w:qFormat/>
    <w:uiPriority w:val="0"/>
    <w:pPr>
      <w:spacing w:before="240" w:after="60"/>
      <w:jc w:val="center"/>
      <w:outlineLvl w:val="0"/>
    </w:pPr>
    <w:rPr>
      <w:rFonts w:ascii="Cambria" w:hAnsi="Cambria" w:eastAsia="宋体" w:cs="Times New Roman"/>
      <w:b/>
      <w:bCs/>
      <w:sz w:val="32"/>
      <w:szCs w:val="32"/>
    </w:rPr>
  </w:style>
  <w:style w:type="character" w:styleId="14">
    <w:name w:val="Strong"/>
    <w:basedOn w:val="13"/>
    <w:qFormat/>
    <w:uiPriority w:val="0"/>
    <w:rPr>
      <w:b/>
      <w:bCs/>
    </w:rPr>
  </w:style>
  <w:style w:type="character" w:styleId="15">
    <w:name w:val="page number"/>
    <w:basedOn w:val="13"/>
    <w:qFormat/>
    <w:uiPriority w:val="0"/>
  </w:style>
  <w:style w:type="character" w:customStyle="1" w:styleId="16">
    <w:name w:val="页眉 Char"/>
    <w:basedOn w:val="13"/>
    <w:link w:val="9"/>
    <w:semiHidden/>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Other|2_"/>
    <w:basedOn w:val="13"/>
    <w:link w:val="19"/>
    <w:qFormat/>
    <w:uiPriority w:val="0"/>
    <w:rPr>
      <w:rFonts w:ascii="MingLiU" w:hAnsi="MingLiU" w:eastAsia="MingLiU" w:cs="MingLiU"/>
      <w:color w:val="2B3643"/>
      <w:sz w:val="30"/>
      <w:szCs w:val="30"/>
      <w:shd w:val="clear" w:color="auto" w:fill="FFFFFF"/>
      <w:lang w:val="zh-CN" w:bidi="zh-CN"/>
    </w:rPr>
  </w:style>
  <w:style w:type="paragraph" w:customStyle="1" w:styleId="19">
    <w:name w:val="Other|2"/>
    <w:basedOn w:val="1"/>
    <w:link w:val="18"/>
    <w:qFormat/>
    <w:uiPriority w:val="0"/>
    <w:pPr>
      <w:shd w:val="clear" w:color="auto" w:fill="FFFFFF"/>
      <w:spacing w:line="360" w:lineRule="auto"/>
      <w:ind w:firstLine="400"/>
      <w:jc w:val="left"/>
    </w:pPr>
    <w:rPr>
      <w:rFonts w:ascii="MingLiU" w:hAnsi="MingLiU" w:eastAsia="MingLiU" w:cs="MingLiU"/>
      <w:color w:val="2B3643"/>
      <w:sz w:val="30"/>
      <w:szCs w:val="30"/>
      <w:lang w:val="zh-CN" w:bidi="zh-CN"/>
    </w:rPr>
  </w:style>
  <w:style w:type="character" w:customStyle="1" w:styleId="20">
    <w:name w:val="Other|1_"/>
    <w:basedOn w:val="13"/>
    <w:link w:val="21"/>
    <w:qFormat/>
    <w:uiPriority w:val="0"/>
    <w:rPr>
      <w:rFonts w:ascii="MingLiU" w:hAnsi="MingLiU" w:eastAsia="MingLiU" w:cs="MingLiU"/>
      <w:sz w:val="20"/>
      <w:szCs w:val="20"/>
      <w:shd w:val="clear" w:color="auto" w:fill="FFFFFF"/>
      <w:lang w:val="zh-CN" w:bidi="zh-CN"/>
    </w:rPr>
  </w:style>
  <w:style w:type="paragraph" w:customStyle="1" w:styleId="21">
    <w:name w:val="Other|1"/>
    <w:basedOn w:val="1"/>
    <w:link w:val="20"/>
    <w:qFormat/>
    <w:uiPriority w:val="0"/>
    <w:pPr>
      <w:shd w:val="clear" w:color="auto" w:fill="FFFFFF"/>
      <w:jc w:val="left"/>
    </w:pPr>
    <w:rPr>
      <w:rFonts w:ascii="MingLiU" w:hAnsi="MingLiU" w:eastAsia="MingLiU" w:cs="MingLiU"/>
      <w:sz w:val="20"/>
      <w:szCs w:val="20"/>
      <w:lang w:val="zh-CN" w:bidi="zh-CN"/>
    </w:rPr>
  </w:style>
  <w:style w:type="character" w:customStyle="1" w:styleId="22">
    <w:name w:val="Table caption|1_"/>
    <w:basedOn w:val="13"/>
    <w:link w:val="23"/>
    <w:qFormat/>
    <w:uiPriority w:val="0"/>
    <w:rPr>
      <w:rFonts w:ascii="MingLiU" w:hAnsi="MingLiU" w:eastAsia="MingLiU" w:cs="MingLiU"/>
      <w:color w:val="3E4A55"/>
      <w:sz w:val="19"/>
      <w:szCs w:val="19"/>
      <w:shd w:val="clear" w:color="auto" w:fill="FFFFFF"/>
      <w:lang w:val="zh-CN" w:bidi="zh-CN"/>
    </w:rPr>
  </w:style>
  <w:style w:type="paragraph" w:customStyle="1" w:styleId="23">
    <w:name w:val="Table caption|1"/>
    <w:basedOn w:val="1"/>
    <w:link w:val="22"/>
    <w:qFormat/>
    <w:uiPriority w:val="0"/>
    <w:pPr>
      <w:shd w:val="clear" w:color="auto" w:fill="FFFFFF"/>
      <w:spacing w:line="248" w:lineRule="exact"/>
      <w:jc w:val="left"/>
    </w:pPr>
    <w:rPr>
      <w:rFonts w:ascii="MingLiU" w:hAnsi="MingLiU" w:eastAsia="MingLiU" w:cs="MingLiU"/>
      <w:color w:val="3E4A55"/>
      <w:sz w:val="19"/>
      <w:szCs w:val="19"/>
      <w:lang w:val="zh-CN" w:bidi="zh-CN"/>
    </w:rPr>
  </w:style>
  <w:style w:type="character" w:customStyle="1" w:styleId="24">
    <w:name w:val="Body text|2_"/>
    <w:basedOn w:val="13"/>
    <w:link w:val="25"/>
    <w:qFormat/>
    <w:uiPriority w:val="0"/>
    <w:rPr>
      <w:rFonts w:ascii="MingLiU" w:hAnsi="MingLiU" w:eastAsia="MingLiU" w:cs="MingLiU"/>
      <w:color w:val="3E4A55"/>
      <w:sz w:val="19"/>
      <w:szCs w:val="19"/>
      <w:shd w:val="clear" w:color="auto" w:fill="FFFFFF"/>
      <w:lang w:val="zh-CN" w:bidi="zh-CN"/>
    </w:rPr>
  </w:style>
  <w:style w:type="paragraph" w:customStyle="1" w:styleId="25">
    <w:name w:val="Body text|2"/>
    <w:basedOn w:val="1"/>
    <w:link w:val="24"/>
    <w:qFormat/>
    <w:uiPriority w:val="0"/>
    <w:pPr>
      <w:shd w:val="clear" w:color="auto" w:fill="FFFFFF"/>
      <w:spacing w:line="253" w:lineRule="exact"/>
      <w:jc w:val="left"/>
    </w:pPr>
    <w:rPr>
      <w:rFonts w:ascii="MingLiU" w:hAnsi="MingLiU" w:eastAsia="MingLiU" w:cs="MingLiU"/>
      <w:color w:val="3E4A55"/>
      <w:sz w:val="19"/>
      <w:szCs w:val="19"/>
      <w:lang w:val="zh-CN" w:bidi="zh-CN"/>
    </w:rPr>
  </w:style>
  <w:style w:type="character" w:customStyle="1" w:styleId="26">
    <w:name w:val="批注框文本 Char"/>
    <w:basedOn w:val="13"/>
    <w:link w:val="7"/>
    <w:semiHidden/>
    <w:qFormat/>
    <w:uiPriority w:val="99"/>
    <w:rPr>
      <w:sz w:val="18"/>
      <w:szCs w:val="18"/>
    </w:rPr>
  </w:style>
  <w:style w:type="character" w:customStyle="1" w:styleId="27">
    <w:name w:val="标题 2 Char"/>
    <w:basedOn w:val="13"/>
    <w:link w:val="3"/>
    <w:qFormat/>
    <w:uiPriority w:val="9"/>
    <w:rPr>
      <w:rFonts w:ascii="宋体" w:hAnsi="宋体" w:eastAsia="宋体" w:cs="宋体"/>
      <w:b/>
      <w:bCs/>
      <w:kern w:val="0"/>
      <w:sz w:val="36"/>
      <w:szCs w:val="36"/>
    </w:rPr>
  </w:style>
  <w:style w:type="character" w:customStyle="1" w:styleId="28">
    <w:name w:val="正文文本 3 Char"/>
    <w:basedOn w:val="13"/>
    <w:link w:val="5"/>
    <w:semiHidden/>
    <w:qFormat/>
    <w:uiPriority w:val="0"/>
    <w:rPr>
      <w:rFonts w:ascii="黑体" w:hAnsi="Times New Roman" w:eastAsia="黑体" w:cs="Times New Roman"/>
      <w:sz w:val="24"/>
      <w:szCs w:val="24"/>
    </w:rPr>
  </w:style>
  <w:style w:type="character" w:customStyle="1" w:styleId="29">
    <w:name w:val="标题 Char"/>
    <w:basedOn w:val="13"/>
    <w:link w:val="11"/>
    <w:qFormat/>
    <w:uiPriority w:val="0"/>
    <w:rPr>
      <w:rFonts w:ascii="Cambria" w:hAnsi="Cambria" w:eastAsia="宋体" w:cs="Times New Roman"/>
      <w:b/>
      <w:bCs/>
      <w:sz w:val="32"/>
      <w:szCs w:val="32"/>
    </w:rPr>
  </w:style>
  <w:style w:type="character" w:customStyle="1" w:styleId="30">
    <w:name w:val="apple-converted-space"/>
    <w:basedOn w:val="13"/>
    <w:qFormat/>
    <w:uiPriority w:val="0"/>
  </w:style>
  <w:style w:type="paragraph" w:styleId="3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7FA9DE-0EF5-4286-984E-EBB71F8ADC10}">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18</Pages>
  <Words>8005</Words>
  <Characters>8042</Characters>
  <Lines>36</Lines>
  <Paragraphs>10</Paragraphs>
  <TotalTime>1</TotalTime>
  <ScaleCrop>false</ScaleCrop>
  <LinksUpToDate>false</LinksUpToDate>
  <CharactersWithSpaces>8076</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2021-05-19T02:46:00Z</dcterms:created>
  <dc:creator>Administrator</dc:creator>
  <cp:lastModifiedBy>张翔</cp:lastModifiedBy>
  <cp:lastPrinted>2021-06-04T01:31:00Z</cp:lastPrinted>
  <dcterms:modified xsi:type="dcterms:W3CDTF">2023-05-26T08:38:21Z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2ABE6AE99F9640B9A55DA1C781799565</vt:lpwstr>
  </property>
</Properties>
</file>