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国家税务总局贺州市税务局关于修订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有关税收政策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  <w:t>的公告（征求意见稿）</w:t>
      </w:r>
    </w:p>
    <w:p>
      <w:pPr>
        <w:jc w:val="center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2023年第　　号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根据《中华人民共和国房产税暂行条例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》、《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财政部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国家税务总局关于廉租住房、经济适用住房和住房租赁有关税收政策的通知》（财税〔2008〕24号）有关规定，国家税务总局贺州市税务局决定对《贺州市地方税务局关于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个人转让和租赁房产有关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地方税费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政策问题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的公告》（贺州市地方税务局公告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2017年第1号、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国家税务总局贺州市税务局2018年第3号修订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）作如下修订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二条第（二）项修订为：“（二）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对个人租赁应税房产，未能提供有关凭证资料，无法准确核算成本和费用的，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按相关规定征收或免征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城市维护建设税、教育费附加、地方教育附加、印花税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和城镇土地使用税等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税费，应税房产是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4%征收房产税，应税房产是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商铺和其他房产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12%征收房产税，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依照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《税收征管法》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第三十五条规定核定征收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个人所得税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: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个人租赁住房每月取得租金收入在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30000元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（含3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）以下的，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个人所得税核定征收率为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1%，每月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取得租金收入在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30000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，个人所得税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核定征收率为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个人租赁商铺和其他房产每月取得租金收入在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30000元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（含3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）以下的，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个人所得税核定征收率为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1.5%，每月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取得租金收入在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30000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，个人所得税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核定征收率为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。”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本公告自发布之日起施行。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《贺州市地方税务局关于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个人转让和租赁房产有关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地方税费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政策问题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的公告》（贺州市地方税务局公告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2017年第1号、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国家税务总局贺州市税务局2018年第3号修订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第二条第（二）项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同时废止。</w:t>
      </w:r>
    </w:p>
    <w:p>
      <w:pPr>
        <w:ind w:firstLine="88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特此公告。</w:t>
      </w: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贺州市地方税务局关于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个人转让和租赁房产有关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地方税费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政策问题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的公告</w:t>
      </w: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</w:p>
    <w:p>
      <w:pPr>
        <w:snapToGrid w:val="0"/>
        <w:spacing w:line="62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国家税务总局贺州市税务局</w:t>
      </w:r>
    </w:p>
    <w:p>
      <w:pPr>
        <w:snapToGrid w:val="0"/>
        <w:spacing w:line="620" w:lineRule="exact"/>
        <w:jc w:val="left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2023年5月16日</w:t>
      </w: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88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DC3"/>
    <w:rsid w:val="00D036BC"/>
    <w:rsid w:val="06653DC3"/>
    <w:rsid w:val="07254C7A"/>
    <w:rsid w:val="07E665C0"/>
    <w:rsid w:val="0A4B0336"/>
    <w:rsid w:val="0AA42500"/>
    <w:rsid w:val="0E360744"/>
    <w:rsid w:val="16743B1F"/>
    <w:rsid w:val="1A0A72E2"/>
    <w:rsid w:val="1DA65406"/>
    <w:rsid w:val="22585B67"/>
    <w:rsid w:val="25CD4367"/>
    <w:rsid w:val="2687385F"/>
    <w:rsid w:val="2A260F47"/>
    <w:rsid w:val="2BF64B84"/>
    <w:rsid w:val="2C421D54"/>
    <w:rsid w:val="2DE949CF"/>
    <w:rsid w:val="2E6C5246"/>
    <w:rsid w:val="3052044B"/>
    <w:rsid w:val="31133440"/>
    <w:rsid w:val="3172052B"/>
    <w:rsid w:val="31C1457E"/>
    <w:rsid w:val="32B953A2"/>
    <w:rsid w:val="32E63854"/>
    <w:rsid w:val="336D2EA4"/>
    <w:rsid w:val="36CF20EB"/>
    <w:rsid w:val="38E53721"/>
    <w:rsid w:val="395625BF"/>
    <w:rsid w:val="445A6E9E"/>
    <w:rsid w:val="479C6F5A"/>
    <w:rsid w:val="480C5DE0"/>
    <w:rsid w:val="4D7F17EA"/>
    <w:rsid w:val="4DEF6AE0"/>
    <w:rsid w:val="4FC2603E"/>
    <w:rsid w:val="504A3426"/>
    <w:rsid w:val="50AF0A1B"/>
    <w:rsid w:val="52036CA1"/>
    <w:rsid w:val="53852FD0"/>
    <w:rsid w:val="53F060C1"/>
    <w:rsid w:val="57183BE4"/>
    <w:rsid w:val="57E4443A"/>
    <w:rsid w:val="592643A2"/>
    <w:rsid w:val="600D0AEF"/>
    <w:rsid w:val="611E6F00"/>
    <w:rsid w:val="62EC0AFA"/>
    <w:rsid w:val="64ED3741"/>
    <w:rsid w:val="69CB004A"/>
    <w:rsid w:val="6A173C2F"/>
    <w:rsid w:val="6D407511"/>
    <w:rsid w:val="71693E7D"/>
    <w:rsid w:val="7197122D"/>
    <w:rsid w:val="728F1654"/>
    <w:rsid w:val="744A26E0"/>
    <w:rsid w:val="759522D8"/>
    <w:rsid w:val="7683045E"/>
    <w:rsid w:val="76F01C72"/>
    <w:rsid w:val="79E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贺州市税务局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2023-03-27T08:58:00Z</dcterms:created>
  <dc:creator>陆燕</dc:creator>
  <cp:lastModifiedBy>李彬林</cp:lastModifiedBy>
  <cp:lastPrinted>2023-04-13T00:26:00Z</cp:lastPrinted>
  <dcterms:modified xsi:type="dcterms:W3CDTF">2023-05-22T01:46:07Z</dcterms:modified>
  <dc:title>国家税务总局贺州市税务局关于修订有关税收政策的公告（征求意见稿）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