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left"/>
        <w:textAlignment w:val="auto"/>
        <w:outlineLvl w:val="9"/>
        <w:rPr>
          <w:rFonts w:hint="default" w:ascii="黑体" w:hAnsi="黑体" w:eastAsia="黑体" w:cs="黑体"/>
          <w:b w:val="0"/>
          <w:bCs/>
          <w:color w:val="auto"/>
          <w:kern w:val="0"/>
          <w:sz w:val="32"/>
          <w:szCs w:val="32"/>
          <w:lang w:val="en-US" w:eastAsia="zh-CN"/>
        </w:rPr>
      </w:pPr>
      <w:r>
        <w:rPr>
          <w:rFonts w:hint="eastAsia" w:ascii="黑体" w:hAnsi="黑体" w:eastAsia="黑体" w:cs="黑体"/>
          <w:b w:val="0"/>
          <w:bCs/>
          <w:color w:val="auto"/>
          <w:kern w:val="0"/>
          <w:sz w:val="32"/>
          <w:szCs w:val="32"/>
          <w:lang w:eastAsia="zh-CN"/>
        </w:rPr>
        <w:t>附件</w:t>
      </w:r>
      <w:r>
        <w:rPr>
          <w:rFonts w:hint="eastAsia" w:ascii="黑体" w:hAnsi="黑体" w:eastAsia="黑体" w:cs="黑体"/>
          <w:b w:val="0"/>
          <w:bCs/>
          <w:color w:val="auto"/>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eastAsia" w:ascii="方正小标宋简体" w:hAnsi="方正小标宋简体" w:eastAsia="方正小标宋简体" w:cs="宋体"/>
          <w:b w:val="0"/>
          <w:bCs/>
          <w:color w:val="auto"/>
          <w:kern w:val="0"/>
          <w:sz w:val="44"/>
          <w:szCs w:val="44"/>
          <w:lang w:eastAsia="zh-CN"/>
        </w:rPr>
      </w:pPr>
      <w:r>
        <w:rPr>
          <w:rFonts w:hint="eastAsia" w:ascii="方正小标宋简体" w:hAnsi="方正小标宋简体" w:eastAsia="方正小标宋简体" w:cs="宋体"/>
          <w:b w:val="0"/>
          <w:bCs/>
          <w:color w:val="auto"/>
          <w:kern w:val="0"/>
          <w:sz w:val="44"/>
          <w:szCs w:val="44"/>
          <w:lang w:eastAsia="zh-CN"/>
        </w:rPr>
        <w:t>佛山市</w:t>
      </w:r>
      <w:r>
        <w:rPr>
          <w:rFonts w:hint="eastAsia" w:ascii="方正小标宋简体" w:hAnsi="方正小标宋简体" w:eastAsia="方正小标宋简体" w:cs="宋体"/>
          <w:b w:val="0"/>
          <w:bCs/>
          <w:color w:val="auto"/>
          <w:kern w:val="0"/>
          <w:sz w:val="44"/>
          <w:szCs w:val="44"/>
        </w:rPr>
        <w:t>存量房交易核定计税价格争议处理办法</w:t>
      </w:r>
      <w:r>
        <w:rPr>
          <w:rFonts w:hint="eastAsia" w:ascii="方正小标宋简体" w:hAnsi="方正小标宋简体" w:eastAsia="方正小标宋简体" w:cs="宋体"/>
          <w:b w:val="0"/>
          <w:bCs/>
          <w:color w:val="auto"/>
          <w:kern w:val="0"/>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Verdana" w:cs="宋体"/>
          <w:b w:val="0"/>
          <w:bCs/>
          <w:color w:val="auto"/>
          <w:kern w:val="0"/>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color w:val="auto"/>
          <w:kern w:val="0"/>
          <w:sz w:val="32"/>
          <w:szCs w:val="32"/>
        </w:rPr>
      </w:pPr>
      <w:r>
        <w:rPr>
          <w:rFonts w:hint="eastAsia" w:ascii="仿宋_GB2312" w:hAnsi="楷体" w:cs="楷体"/>
          <w:b/>
          <w:color w:val="auto"/>
          <w:kern w:val="0"/>
          <w:sz w:val="32"/>
          <w:szCs w:val="32"/>
        </w:rPr>
        <w:t xml:space="preserve">第一条 </w:t>
      </w:r>
      <w:r>
        <w:rPr>
          <w:rFonts w:hint="eastAsia" w:ascii="仿宋_GB2312" w:hAnsi="楷体" w:cs="楷体"/>
          <w:color w:val="auto"/>
          <w:kern w:val="0"/>
          <w:sz w:val="32"/>
          <w:szCs w:val="32"/>
        </w:rPr>
        <w:t>为</w:t>
      </w:r>
      <w:r>
        <w:rPr>
          <w:rFonts w:hint="eastAsia" w:ascii="仿宋_GB2312" w:hAnsi="楷体" w:cs="楷体"/>
          <w:color w:val="auto"/>
          <w:kern w:val="0"/>
          <w:sz w:val="32"/>
          <w:szCs w:val="32"/>
          <w:lang w:eastAsia="zh-CN"/>
        </w:rPr>
        <w:t>规范存量房交易税收管理，完善交易计税价格评估争议解决机制，高效处理涉税争议</w:t>
      </w:r>
      <w:r>
        <w:rPr>
          <w:rFonts w:hint="eastAsia" w:ascii="仿宋_GB2312" w:hAnsi="Verdana" w:cs="宋体"/>
          <w:color w:val="auto"/>
          <w:kern w:val="0"/>
          <w:sz w:val="32"/>
          <w:szCs w:val="32"/>
        </w:rPr>
        <w:t>，根据《中华人民共和国税收征收管理法》及</w:t>
      </w:r>
      <w:r>
        <w:rPr>
          <w:rFonts w:hint="eastAsia" w:ascii="仿宋_GB2312" w:hAnsi="仿宋"/>
          <w:color w:val="auto"/>
          <w:sz w:val="32"/>
          <w:szCs w:val="32"/>
        </w:rPr>
        <w:t>其实施细则</w:t>
      </w:r>
      <w:r>
        <w:rPr>
          <w:rFonts w:hint="eastAsia" w:ascii="仿宋_GB2312" w:hAnsi="仿宋"/>
          <w:color w:val="auto"/>
          <w:sz w:val="32"/>
          <w:szCs w:val="32"/>
          <w:lang w:eastAsia="zh-CN"/>
        </w:rPr>
        <w:t>、</w:t>
      </w:r>
      <w:r>
        <w:rPr>
          <w:rFonts w:hint="eastAsia" w:ascii="仿宋_GB2312" w:hAnsi="仿宋"/>
          <w:color w:val="auto"/>
          <w:sz w:val="32"/>
          <w:szCs w:val="32"/>
        </w:rPr>
        <w:t>《国务院办公厅关于进一步做好房地产市场调控工作有关问题的通知》</w:t>
      </w:r>
      <w:r>
        <w:rPr>
          <w:rFonts w:hint="eastAsia" w:ascii="仿宋_GB2312" w:hAnsi="Verdana" w:cs="宋体"/>
          <w:color w:val="auto"/>
          <w:kern w:val="0"/>
          <w:sz w:val="32"/>
          <w:szCs w:val="32"/>
        </w:rPr>
        <w:t>（国办发〔2011〕1号）等</w:t>
      </w:r>
      <w:r>
        <w:rPr>
          <w:rFonts w:hint="eastAsia" w:ascii="仿宋_GB2312" w:hAnsi="Verdana" w:cs="宋体"/>
          <w:color w:val="auto"/>
          <w:kern w:val="0"/>
          <w:sz w:val="32"/>
          <w:szCs w:val="32"/>
          <w:lang w:eastAsia="zh-CN"/>
        </w:rPr>
        <w:t>相关文件</w:t>
      </w:r>
      <w:r>
        <w:rPr>
          <w:rFonts w:hint="eastAsia" w:ascii="仿宋_GB2312" w:hAnsi="Verdana" w:cs="宋体"/>
          <w:color w:val="auto"/>
          <w:kern w:val="0"/>
          <w:sz w:val="32"/>
          <w:szCs w:val="32"/>
        </w:rPr>
        <w:t>规定，</w:t>
      </w:r>
      <w:r>
        <w:rPr>
          <w:rFonts w:hint="eastAsia" w:ascii="仿宋_GB2312" w:hAnsi="仿宋"/>
          <w:color w:val="auto"/>
          <w:sz w:val="32"/>
          <w:szCs w:val="32"/>
          <w:lang w:val="en-US" w:eastAsia="zh-CN"/>
        </w:rPr>
        <w:t>遵循公平、公正、高效原则，</w:t>
      </w:r>
      <w:r>
        <w:rPr>
          <w:rFonts w:hint="eastAsia" w:ascii="仿宋_GB2312" w:hAnsi="Verdana" w:cs="宋体"/>
          <w:color w:val="auto"/>
          <w:kern w:val="0"/>
          <w:sz w:val="32"/>
          <w:szCs w:val="32"/>
        </w:rPr>
        <w:t>结合我市实际</w:t>
      </w:r>
      <w:r>
        <w:rPr>
          <w:rFonts w:hint="eastAsia" w:ascii="仿宋_GB2312" w:hAnsi="Verdana" w:cs="宋体"/>
          <w:color w:val="auto"/>
          <w:kern w:val="0"/>
          <w:sz w:val="32"/>
          <w:szCs w:val="32"/>
          <w:lang w:eastAsia="zh-CN"/>
        </w:rPr>
        <w:t>情况</w:t>
      </w:r>
      <w:r>
        <w:rPr>
          <w:rFonts w:hint="eastAsia" w:ascii="仿宋_GB2312" w:hAnsi="Verdana" w:cs="宋体"/>
          <w:color w:val="auto"/>
          <w:kern w:val="0"/>
          <w:sz w:val="32"/>
          <w:szCs w:val="32"/>
        </w:rPr>
        <w:t>，制定本办法。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color w:val="auto"/>
          <w:kern w:val="0"/>
          <w:sz w:val="32"/>
          <w:szCs w:val="32"/>
        </w:rPr>
      </w:pPr>
      <w:r>
        <w:rPr>
          <w:rFonts w:hint="eastAsia" w:ascii="仿宋_GB2312" w:hAnsi="Verdana" w:cs="宋体"/>
          <w:b/>
          <w:color w:val="auto"/>
          <w:kern w:val="0"/>
          <w:sz w:val="32"/>
          <w:szCs w:val="32"/>
        </w:rPr>
        <w:t xml:space="preserve">第二条 </w:t>
      </w:r>
      <w:r>
        <w:rPr>
          <w:rFonts w:hint="eastAsia" w:ascii="仿宋_GB2312" w:hAnsi="Verdana" w:cs="宋体"/>
          <w:b w:val="0"/>
          <w:bCs/>
          <w:color w:val="auto"/>
          <w:kern w:val="0"/>
          <w:sz w:val="32"/>
          <w:szCs w:val="32"/>
          <w:lang w:eastAsia="zh-CN"/>
        </w:rPr>
        <w:t>在我市范围内发生的存量房</w:t>
      </w:r>
      <w:r>
        <w:rPr>
          <w:rFonts w:hint="eastAsia"/>
          <w:color w:val="auto"/>
        </w:rPr>
        <w:t>（包括住宅、商业、写字楼、车库、工业厂房</w:t>
      </w:r>
      <w:r>
        <w:rPr>
          <w:rFonts w:hint="eastAsia"/>
          <w:color w:val="auto"/>
          <w:lang w:eastAsia="zh-CN"/>
        </w:rPr>
        <w:t>、车位、车库</w:t>
      </w:r>
      <w:r>
        <w:rPr>
          <w:rFonts w:hint="eastAsia"/>
          <w:color w:val="auto"/>
        </w:rPr>
        <w:t>等</w:t>
      </w:r>
      <w:r>
        <w:rPr>
          <w:rFonts w:hint="eastAsia"/>
          <w:color w:val="auto"/>
          <w:lang w:eastAsia="zh-CN"/>
        </w:rPr>
        <w:t>）</w:t>
      </w:r>
      <w:r>
        <w:rPr>
          <w:rFonts w:hint="eastAsia" w:ascii="仿宋_GB2312" w:hAnsi="Verdana" w:cs="宋体"/>
          <w:b w:val="0"/>
          <w:bCs/>
          <w:color w:val="auto"/>
          <w:kern w:val="0"/>
          <w:sz w:val="32"/>
          <w:szCs w:val="32"/>
          <w:lang w:eastAsia="zh-CN"/>
        </w:rPr>
        <w:t>权属转移业务（包括</w:t>
      </w:r>
      <w:r>
        <w:rPr>
          <w:rFonts w:hint="eastAsia" w:ascii="仿宋_GB2312" w:hAnsi="仿宋_GB2312" w:eastAsia="仿宋_GB2312" w:cs="仿宋_GB2312"/>
          <w:color w:val="auto"/>
          <w:sz w:val="32"/>
          <w:szCs w:val="32"/>
          <w:u w:val="none"/>
        </w:rPr>
        <w:t>买卖、交换、抵债</w:t>
      </w:r>
      <w:r>
        <w:rPr>
          <w:rFonts w:hint="eastAsia" w:ascii="仿宋_GB2312" w:hAnsi="仿宋_GB2312" w:eastAsia="仿宋_GB2312" w:cs="仿宋_GB2312"/>
          <w:color w:val="auto"/>
          <w:sz w:val="32"/>
          <w:szCs w:val="32"/>
          <w:u w:val="none"/>
          <w:lang w:eastAsia="zh-CN"/>
        </w:rPr>
        <w:t>、作价入股、划转、赠与、继承</w:t>
      </w:r>
      <w:r>
        <w:rPr>
          <w:rFonts w:hint="eastAsia" w:ascii="仿宋_GB2312" w:hAnsi="仿宋_GB2312" w:eastAsia="仿宋_GB2312" w:cs="仿宋_GB2312"/>
          <w:color w:val="auto"/>
          <w:sz w:val="32"/>
          <w:szCs w:val="32"/>
          <w:u w:val="none"/>
        </w:rPr>
        <w:t>和析产等</w:t>
      </w:r>
      <w:r>
        <w:rPr>
          <w:rFonts w:hint="eastAsia" w:ascii="仿宋_GB2312" w:hAnsi="仿宋_GB2312" w:cs="仿宋_GB2312"/>
          <w:color w:val="auto"/>
          <w:sz w:val="32"/>
          <w:szCs w:val="32"/>
          <w:u w:val="none"/>
          <w:lang w:eastAsia="zh-CN"/>
        </w:rPr>
        <w:t>业务</w:t>
      </w:r>
      <w:r>
        <w:rPr>
          <w:rFonts w:hint="eastAsia" w:ascii="仿宋_GB2312" w:hAnsi="Verdana" w:cs="宋体"/>
          <w:b w:val="0"/>
          <w:bCs/>
          <w:color w:val="auto"/>
          <w:kern w:val="0"/>
          <w:sz w:val="32"/>
          <w:szCs w:val="32"/>
          <w:lang w:eastAsia="zh-CN"/>
        </w:rPr>
        <w:t>）</w:t>
      </w:r>
      <w:r>
        <w:rPr>
          <w:rFonts w:hint="eastAsia" w:ascii="仿宋_GB2312" w:hAnsi="Verdana" w:cs="宋体"/>
          <w:color w:val="auto"/>
          <w:kern w:val="0"/>
          <w:sz w:val="32"/>
          <w:szCs w:val="32"/>
          <w:lang w:eastAsia="zh-CN"/>
        </w:rPr>
        <w:t>，纳税人</w:t>
      </w:r>
      <w:r>
        <w:rPr>
          <w:rFonts w:hint="eastAsia" w:ascii="仿宋_GB2312" w:hAnsi="Verdana" w:cs="宋体"/>
          <w:color w:val="auto"/>
          <w:kern w:val="0"/>
          <w:sz w:val="32"/>
          <w:szCs w:val="32"/>
        </w:rPr>
        <w:t>对主管税务机关</w:t>
      </w:r>
      <w:r>
        <w:rPr>
          <w:rFonts w:hint="eastAsia" w:ascii="仿宋_GB2312" w:hAnsi="Verdana" w:cs="宋体"/>
          <w:color w:val="auto"/>
          <w:kern w:val="0"/>
          <w:sz w:val="32"/>
          <w:szCs w:val="32"/>
          <w:lang w:eastAsia="zh-CN"/>
        </w:rPr>
        <w:t>核定计税</w:t>
      </w:r>
      <w:r>
        <w:rPr>
          <w:rFonts w:hint="eastAsia" w:ascii="仿宋_GB2312" w:hAnsi="Verdana" w:cs="宋体"/>
          <w:color w:val="auto"/>
          <w:kern w:val="0"/>
          <w:sz w:val="32"/>
          <w:szCs w:val="32"/>
        </w:rPr>
        <w:t>价格有异议</w:t>
      </w:r>
      <w:r>
        <w:rPr>
          <w:rFonts w:hint="eastAsia" w:ascii="仿宋_GB2312" w:hAnsi="Verdana" w:cs="宋体"/>
          <w:color w:val="auto"/>
          <w:kern w:val="0"/>
          <w:sz w:val="32"/>
          <w:szCs w:val="32"/>
          <w:lang w:eastAsia="zh-CN"/>
        </w:rPr>
        <w:t>且要求进行调整的</w:t>
      </w:r>
      <w:r>
        <w:rPr>
          <w:rFonts w:hint="eastAsia" w:ascii="仿宋_GB2312" w:hAnsi="Verdana" w:cs="宋体"/>
          <w:color w:val="auto"/>
          <w:kern w:val="0"/>
          <w:sz w:val="32"/>
          <w:szCs w:val="32"/>
        </w:rPr>
        <w:t>，适用本办法。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color w:val="auto"/>
          <w:kern w:val="0"/>
          <w:sz w:val="32"/>
          <w:szCs w:val="32"/>
        </w:rPr>
      </w:pPr>
      <w:r>
        <w:rPr>
          <w:rFonts w:hint="eastAsia" w:ascii="仿宋_GB2312" w:hAnsi="Verdana" w:cs="宋体"/>
          <w:b/>
          <w:color w:val="auto"/>
          <w:kern w:val="0"/>
          <w:sz w:val="32"/>
          <w:szCs w:val="32"/>
        </w:rPr>
        <w:t xml:space="preserve">第三条 </w:t>
      </w:r>
      <w:r>
        <w:rPr>
          <w:rFonts w:hint="eastAsia" w:ascii="仿宋_GB2312" w:hAnsi="Verdana" w:cs="宋体"/>
          <w:color w:val="auto"/>
          <w:kern w:val="0"/>
          <w:sz w:val="32"/>
          <w:szCs w:val="32"/>
        </w:rPr>
        <w:t>纳税人必须依照法律、行政法规规定</w:t>
      </w:r>
      <w:r>
        <w:rPr>
          <w:rFonts w:hint="eastAsia" w:ascii="仿宋_GB2312" w:hAnsi="Verdana" w:cs="宋体"/>
          <w:color w:val="auto"/>
          <w:kern w:val="0"/>
          <w:sz w:val="32"/>
          <w:szCs w:val="32"/>
          <w:lang w:eastAsia="zh-CN"/>
        </w:rPr>
        <w:t>，</w:t>
      </w:r>
      <w:r>
        <w:rPr>
          <w:rFonts w:hint="eastAsia" w:ascii="仿宋_GB2312" w:hAnsi="Verdana" w:cs="宋体"/>
          <w:color w:val="auto"/>
          <w:kern w:val="0"/>
          <w:sz w:val="32"/>
          <w:szCs w:val="32"/>
        </w:rPr>
        <w:t>如实</w:t>
      </w:r>
      <w:r>
        <w:rPr>
          <w:rFonts w:hint="eastAsia" w:ascii="仿宋_GB2312" w:hAnsi="Verdana" w:cs="宋体"/>
          <w:color w:val="auto"/>
          <w:kern w:val="0"/>
          <w:sz w:val="32"/>
          <w:szCs w:val="32"/>
          <w:lang w:eastAsia="zh-CN"/>
        </w:rPr>
        <w:t>、完整申报房屋交易价格</w:t>
      </w:r>
      <w:r>
        <w:rPr>
          <w:rFonts w:hint="eastAsia" w:ascii="仿宋_GB2312" w:hAnsi="Verdana" w:cs="宋体"/>
          <w:color w:val="auto"/>
          <w:kern w:val="0"/>
          <w:sz w:val="32"/>
          <w:szCs w:val="32"/>
        </w:rPr>
        <w:t>，同时享有提出异议和要求</w:t>
      </w:r>
      <w:r>
        <w:rPr>
          <w:rFonts w:hint="eastAsia" w:ascii="仿宋_GB2312" w:hAnsi="Verdana" w:cs="宋体"/>
          <w:color w:val="auto"/>
          <w:kern w:val="0"/>
          <w:sz w:val="32"/>
          <w:szCs w:val="32"/>
          <w:lang w:eastAsia="zh-CN"/>
        </w:rPr>
        <w:t>进行争议</w:t>
      </w:r>
      <w:r>
        <w:rPr>
          <w:rFonts w:hint="eastAsia" w:ascii="仿宋_GB2312" w:hAnsi="Verdana" w:cs="宋体"/>
          <w:color w:val="auto"/>
          <w:kern w:val="0"/>
          <w:sz w:val="32"/>
          <w:szCs w:val="32"/>
        </w:rPr>
        <w:t>处理的权利。</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color w:val="auto"/>
          <w:kern w:val="0"/>
          <w:sz w:val="32"/>
          <w:szCs w:val="32"/>
        </w:rPr>
      </w:pPr>
      <w:r>
        <w:rPr>
          <w:rFonts w:hint="eastAsia" w:ascii="仿宋_GB2312" w:hAnsi="Verdana" w:cs="宋体"/>
          <w:b/>
          <w:bCs w:val="0"/>
          <w:color w:val="auto"/>
          <w:kern w:val="0"/>
          <w:sz w:val="32"/>
          <w:szCs w:val="32"/>
          <w:lang w:val="en-US" w:eastAsia="zh-CN"/>
        </w:rPr>
        <w:t xml:space="preserve">第四条 </w:t>
      </w:r>
      <w:r>
        <w:rPr>
          <w:rFonts w:hint="eastAsia" w:ascii="仿宋_GB2312" w:hAnsi="Verdana" w:cs="宋体"/>
          <w:color w:val="auto"/>
          <w:kern w:val="0"/>
          <w:sz w:val="32"/>
          <w:szCs w:val="32"/>
        </w:rPr>
        <w:t>纳税人对</w:t>
      </w:r>
      <w:r>
        <w:rPr>
          <w:rFonts w:hint="eastAsia" w:ascii="仿宋_GB2312" w:hAnsi="Verdana" w:cs="宋体"/>
          <w:color w:val="auto"/>
          <w:kern w:val="0"/>
          <w:sz w:val="32"/>
          <w:szCs w:val="32"/>
          <w:lang w:eastAsia="zh-CN"/>
        </w:rPr>
        <w:t>主管税务机关核定计税</w:t>
      </w:r>
      <w:r>
        <w:rPr>
          <w:rFonts w:hint="eastAsia" w:ascii="仿宋_GB2312" w:hAnsi="Verdana" w:cs="宋体"/>
          <w:color w:val="auto"/>
          <w:kern w:val="0"/>
          <w:sz w:val="32"/>
          <w:szCs w:val="32"/>
        </w:rPr>
        <w:t>价格有异议的，应</w:t>
      </w:r>
      <w:r>
        <w:rPr>
          <w:rFonts w:hint="eastAsia" w:ascii="仿宋_GB2312" w:hAnsi="Verdana" w:cs="宋体"/>
          <w:color w:val="auto"/>
          <w:kern w:val="0"/>
          <w:sz w:val="32"/>
          <w:szCs w:val="32"/>
          <w:lang w:eastAsia="zh-CN"/>
        </w:rPr>
        <w:t>当自收到</w:t>
      </w:r>
      <w:r>
        <w:rPr>
          <w:rFonts w:hint="eastAsia" w:ascii="仿宋_GB2312" w:hAnsi="Verdana" w:cs="宋体"/>
          <w:color w:val="auto"/>
          <w:kern w:val="0"/>
          <w:sz w:val="32"/>
          <w:szCs w:val="32"/>
        </w:rPr>
        <w:t>税务机关核定</w:t>
      </w:r>
      <w:r>
        <w:rPr>
          <w:rFonts w:hint="eastAsia" w:ascii="仿宋_GB2312" w:hAnsi="Verdana" w:cs="宋体"/>
          <w:color w:val="auto"/>
          <w:kern w:val="0"/>
          <w:sz w:val="32"/>
          <w:szCs w:val="32"/>
          <w:lang w:eastAsia="zh-CN"/>
        </w:rPr>
        <w:t>计税价格文书之日起</w:t>
      </w:r>
      <w:r>
        <w:rPr>
          <w:rFonts w:hint="eastAsia" w:ascii="仿宋_GB2312" w:hAnsi="Verdana" w:cs="宋体"/>
          <w:color w:val="auto"/>
          <w:kern w:val="0"/>
          <w:sz w:val="32"/>
          <w:szCs w:val="32"/>
        </w:rPr>
        <w:t>5个工作日内</w:t>
      </w:r>
      <w:r>
        <w:rPr>
          <w:rFonts w:hint="eastAsia" w:ascii="仿宋_GB2312" w:hAnsi="Verdana" w:cs="宋体"/>
          <w:color w:val="auto"/>
          <w:kern w:val="0"/>
          <w:sz w:val="32"/>
          <w:szCs w:val="32"/>
          <w:lang w:eastAsia="zh-CN"/>
        </w:rPr>
        <w:t>，向主管税务机关提出争议</w:t>
      </w:r>
      <w:r>
        <w:rPr>
          <w:rFonts w:hint="eastAsia" w:ascii="仿宋_GB2312" w:hAnsi="Verdana" w:cs="宋体"/>
          <w:color w:val="auto"/>
          <w:kern w:val="0"/>
          <w:sz w:val="32"/>
          <w:szCs w:val="32"/>
        </w:rPr>
        <w:t>申请，填</w:t>
      </w:r>
      <w:r>
        <w:rPr>
          <w:rFonts w:hint="eastAsia" w:ascii="仿宋_GB2312" w:hAnsi="Verdana" w:cs="宋体"/>
          <w:color w:val="auto"/>
          <w:kern w:val="0"/>
          <w:sz w:val="32"/>
          <w:szCs w:val="32"/>
          <w:lang w:eastAsia="zh-CN"/>
        </w:rPr>
        <w:t>写</w:t>
      </w:r>
      <w:r>
        <w:rPr>
          <w:rFonts w:hint="eastAsia" w:ascii="仿宋_GB2312" w:hAnsi="Verdana" w:cs="宋体"/>
          <w:color w:val="auto"/>
          <w:kern w:val="0"/>
          <w:sz w:val="32"/>
          <w:szCs w:val="32"/>
        </w:rPr>
        <w:t>《存量房交易价格估值复核申请表》（详见附件）</w:t>
      </w:r>
      <w:r>
        <w:rPr>
          <w:rFonts w:hint="eastAsia" w:ascii="仿宋_GB2312" w:hAnsi="Verdana" w:cs="宋体"/>
          <w:color w:val="auto"/>
          <w:kern w:val="0"/>
          <w:sz w:val="32"/>
          <w:szCs w:val="32"/>
          <w:lang w:eastAsia="zh-CN"/>
        </w:rPr>
        <w:t>，书面陈述申请</w:t>
      </w:r>
      <w:r>
        <w:rPr>
          <w:rFonts w:hint="eastAsia" w:ascii="仿宋_GB2312" w:hAnsi="Verdana" w:cs="宋体"/>
          <w:color w:val="auto"/>
          <w:kern w:val="0"/>
          <w:sz w:val="32"/>
          <w:szCs w:val="32"/>
        </w:rPr>
        <w:t>理由并提供相关证明资料。</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eastAsia="仿宋_GB2312" w:cs="宋体"/>
          <w:b w:val="0"/>
          <w:bCs/>
          <w:color w:val="auto"/>
          <w:kern w:val="0"/>
          <w:sz w:val="32"/>
          <w:szCs w:val="32"/>
          <w:lang w:val="en-US" w:eastAsia="zh-CN"/>
        </w:rPr>
      </w:pPr>
      <w:r>
        <w:rPr>
          <w:rFonts w:hint="eastAsia" w:ascii="仿宋_GB2312" w:hAnsi="Verdana" w:cs="宋体"/>
          <w:b/>
          <w:bCs w:val="0"/>
          <w:color w:val="auto"/>
          <w:kern w:val="0"/>
          <w:sz w:val="32"/>
          <w:szCs w:val="32"/>
          <w:lang w:val="en-US" w:eastAsia="zh-CN"/>
        </w:rPr>
        <w:t xml:space="preserve">第五条 </w:t>
      </w:r>
      <w:r>
        <w:rPr>
          <w:rFonts w:hint="eastAsia" w:ascii="仿宋_GB2312" w:hAnsi="Verdana" w:cs="宋体"/>
          <w:b w:val="0"/>
          <w:bCs/>
          <w:color w:val="auto"/>
          <w:kern w:val="0"/>
          <w:sz w:val="32"/>
          <w:szCs w:val="32"/>
          <w:lang w:val="en-US" w:eastAsia="zh-CN"/>
        </w:rPr>
        <w:t>主管税务机关收到纳税人的申请后，应及时对纳税人申请理由和证明材料进行审核</w:t>
      </w:r>
      <w:r>
        <w:rPr>
          <w:rFonts w:hint="eastAsia" w:ascii="仿宋_GB2312" w:hAnsi="Verdana" w:cs="宋体"/>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Verdana" w:cs="宋体"/>
          <w:b w:val="0"/>
          <w:bCs/>
          <w:color w:val="auto"/>
          <w:kern w:val="0"/>
          <w:sz w:val="32"/>
          <w:szCs w:val="32"/>
          <w:lang w:val="en-US" w:eastAsia="zh-CN"/>
        </w:rPr>
      </w:pPr>
      <w:r>
        <w:rPr>
          <w:rFonts w:hint="eastAsia" w:ascii="仿宋_GB2312" w:hAnsi="Verdana" w:cs="宋体"/>
          <w:b w:val="0"/>
          <w:bCs/>
          <w:color w:val="auto"/>
          <w:kern w:val="0"/>
          <w:sz w:val="32"/>
          <w:szCs w:val="32"/>
          <w:lang w:val="en-US" w:eastAsia="zh-CN"/>
        </w:rPr>
        <w:t>经审核认定纳税人的申请理由正当、证明材料充分的，对原</w:t>
      </w:r>
      <w:r>
        <w:rPr>
          <w:rFonts w:hint="eastAsia" w:ascii="仿宋_GB2312" w:hAnsi="Verdana" w:cs="宋体"/>
          <w:color w:val="auto"/>
          <w:kern w:val="0"/>
          <w:sz w:val="32"/>
          <w:szCs w:val="32"/>
          <w:lang w:eastAsia="zh-CN"/>
        </w:rPr>
        <w:t>计税</w:t>
      </w:r>
      <w:r>
        <w:rPr>
          <w:rFonts w:hint="eastAsia" w:ascii="仿宋_GB2312" w:hAnsi="Verdana" w:cs="宋体"/>
          <w:color w:val="auto"/>
          <w:kern w:val="0"/>
          <w:sz w:val="32"/>
          <w:szCs w:val="32"/>
        </w:rPr>
        <w:t>价格</w:t>
      </w:r>
      <w:r>
        <w:rPr>
          <w:rFonts w:hint="eastAsia" w:ascii="仿宋_GB2312" w:hAnsi="Verdana" w:cs="宋体"/>
          <w:b w:val="0"/>
          <w:bCs/>
          <w:color w:val="auto"/>
          <w:kern w:val="0"/>
          <w:sz w:val="32"/>
          <w:szCs w:val="32"/>
          <w:lang w:val="en-US" w:eastAsia="zh-CN"/>
        </w:rPr>
        <w:t>予以调整。</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Verdana" w:cs="宋体"/>
          <w:b w:val="0"/>
          <w:bCs/>
          <w:color w:val="auto"/>
          <w:kern w:val="0"/>
          <w:sz w:val="32"/>
          <w:szCs w:val="32"/>
          <w:lang w:val="en-US" w:eastAsia="zh-CN"/>
        </w:rPr>
      </w:pPr>
      <w:r>
        <w:rPr>
          <w:rFonts w:hint="eastAsia" w:ascii="仿宋_GB2312" w:hAnsi="Verdana" w:cs="宋体"/>
          <w:b w:val="0"/>
          <w:bCs/>
          <w:color w:val="auto"/>
          <w:kern w:val="0"/>
          <w:sz w:val="32"/>
          <w:szCs w:val="32"/>
          <w:lang w:val="en-US" w:eastAsia="zh-CN"/>
        </w:rPr>
        <w:t>经审核认定纳税人申报的计税价格明显偏低且无正当理由或有正当理由但无法提供完整证明材料的，对原核定计税价格不予调整。</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val="0"/>
          <w:bCs/>
          <w:color w:val="auto"/>
          <w:kern w:val="0"/>
          <w:sz w:val="32"/>
          <w:szCs w:val="32"/>
          <w:lang w:val="en-US" w:eastAsia="zh-CN"/>
        </w:rPr>
      </w:pPr>
      <w:r>
        <w:rPr>
          <w:rFonts w:hint="eastAsia" w:ascii="仿宋_GB2312" w:hAnsi="Verdana" w:cs="宋体"/>
          <w:b/>
          <w:bCs w:val="0"/>
          <w:color w:val="auto"/>
          <w:kern w:val="0"/>
          <w:sz w:val="32"/>
          <w:szCs w:val="32"/>
          <w:lang w:val="en-US" w:eastAsia="zh-CN"/>
        </w:rPr>
        <w:t xml:space="preserve">第六条 </w:t>
      </w:r>
      <w:r>
        <w:rPr>
          <w:rFonts w:hint="eastAsia" w:ascii="仿宋_GB2312" w:hAnsi="Verdana" w:cs="宋体"/>
          <w:b w:val="0"/>
          <w:bCs/>
          <w:color w:val="auto"/>
          <w:kern w:val="0"/>
          <w:sz w:val="32"/>
          <w:szCs w:val="32"/>
          <w:lang w:val="en-US" w:eastAsia="zh-CN"/>
        </w:rPr>
        <w:t>以下情形可无需走争议流程，主管税务机关直接按交易价格征收税款：</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Verdana" w:cs="宋体"/>
          <w:b w:val="0"/>
          <w:bCs/>
          <w:color w:val="auto"/>
          <w:kern w:val="0"/>
          <w:sz w:val="32"/>
          <w:szCs w:val="32"/>
          <w:lang w:val="en-US" w:eastAsia="zh-CN"/>
        </w:rPr>
      </w:pPr>
      <w:r>
        <w:rPr>
          <w:rFonts w:hint="eastAsia" w:ascii="仿宋_GB2312" w:hAnsi="Verdana" w:cs="宋体"/>
          <w:b w:val="0"/>
          <w:bCs/>
          <w:color w:val="auto"/>
          <w:kern w:val="0"/>
          <w:sz w:val="32"/>
          <w:szCs w:val="32"/>
          <w:lang w:val="en-US" w:eastAsia="zh-CN"/>
        </w:rPr>
        <w:t>（一）人民法院生效裁定书、判决书和仲裁机构生效裁决书载明的房屋权属转移，文书作价低于税务机关核定计税价格（法院或仲裁机构仅对权属转移书据的合法性、有效性进行裁决的除外）；</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Verdana" w:cs="宋体"/>
          <w:b w:val="0"/>
          <w:bCs/>
          <w:color w:val="auto"/>
          <w:kern w:val="0"/>
          <w:sz w:val="32"/>
          <w:szCs w:val="32"/>
          <w:lang w:val="en-US" w:eastAsia="zh-CN"/>
        </w:rPr>
      </w:pPr>
      <w:r>
        <w:rPr>
          <w:rFonts w:hint="eastAsia" w:ascii="仿宋_GB2312" w:hAnsi="Verdana" w:cs="宋体"/>
          <w:b w:val="0"/>
          <w:bCs/>
          <w:color w:val="auto"/>
          <w:kern w:val="0"/>
          <w:sz w:val="32"/>
          <w:szCs w:val="32"/>
          <w:lang w:val="en-US" w:eastAsia="zh-CN"/>
        </w:rPr>
        <w:t>（二）具有合法资质的拍卖机构依法公开拍卖的房屋，拍卖计税价格低于税务机关核定计税价格</w:t>
      </w:r>
      <w:r>
        <w:rPr>
          <w:rFonts w:hint="eastAsia" w:ascii="仿宋_GB2312" w:hAnsi="仿宋_GB2312" w:eastAsia="仿宋_GB2312"/>
          <w:color w:val="auto"/>
          <w:sz w:val="32"/>
          <w:szCs w:val="32"/>
          <w:lang w:eastAsia="zh-CN"/>
        </w:rPr>
        <w:t>（拍卖存在重大瑕疵</w:t>
      </w:r>
      <w:r>
        <w:rPr>
          <w:rFonts w:hint="eastAsia" w:ascii="仿宋_GB2312" w:hAnsi="仿宋_GB2312"/>
          <w:color w:val="auto"/>
          <w:sz w:val="32"/>
          <w:szCs w:val="32"/>
          <w:lang w:eastAsia="zh-CN"/>
        </w:rPr>
        <w:t>，</w:t>
      </w:r>
      <w:r>
        <w:rPr>
          <w:rFonts w:hint="eastAsia" w:ascii="仿宋_GB2312" w:hAnsi="仿宋_GB2312"/>
          <w:color w:val="auto"/>
          <w:szCs w:val="32"/>
        </w:rPr>
        <w:t>例如只有一个竞拍人等导致市场竞价不充分且交易价格明显低于周边同类型物业价格的除外</w:t>
      </w:r>
      <w:r>
        <w:rPr>
          <w:rFonts w:hint="eastAsia" w:ascii="仿宋_GB2312" w:hAnsi="仿宋_GB2312" w:eastAsia="仿宋_GB2312"/>
          <w:color w:val="auto"/>
          <w:sz w:val="32"/>
          <w:szCs w:val="32"/>
          <w:lang w:eastAsia="zh-CN"/>
        </w:rPr>
        <w:t>）</w:t>
      </w:r>
      <w:r>
        <w:rPr>
          <w:rFonts w:hint="eastAsia" w:ascii="仿宋_GB2312" w:hAnsi="Verdana" w:cs="宋体"/>
          <w:b w:val="0"/>
          <w:bCs/>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Verdana" w:cs="宋体"/>
          <w:b w:val="0"/>
          <w:bCs/>
          <w:color w:val="auto"/>
          <w:kern w:val="0"/>
          <w:sz w:val="32"/>
          <w:szCs w:val="32"/>
          <w:lang w:val="en-US" w:eastAsia="zh-CN"/>
        </w:rPr>
      </w:pPr>
      <w:r>
        <w:rPr>
          <w:rFonts w:hint="eastAsia" w:ascii="仿宋_GB2312" w:hAnsi="Verdana" w:cs="宋体"/>
          <w:b w:val="0"/>
          <w:bCs/>
          <w:color w:val="auto"/>
          <w:kern w:val="0"/>
          <w:sz w:val="32"/>
          <w:szCs w:val="32"/>
          <w:lang w:val="en-US" w:eastAsia="zh-CN"/>
        </w:rPr>
        <w:t>（三）将房屋售与配偶、父母、子女、兄弟姐妹、祖父母、外祖父母、孙子女、外孙子女，申报交易价格低于税务机关核定计税价格但不低于成本价（即转让人原购房价）。</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val="0"/>
          <w:bCs/>
          <w:color w:val="auto"/>
          <w:kern w:val="0"/>
          <w:sz w:val="32"/>
          <w:szCs w:val="32"/>
          <w:lang w:val="en-US" w:eastAsia="zh-CN"/>
        </w:rPr>
      </w:pPr>
      <w:r>
        <w:rPr>
          <w:rFonts w:hint="eastAsia" w:ascii="仿宋_GB2312" w:hAnsi="Verdana" w:cs="宋体"/>
          <w:b/>
          <w:bCs w:val="0"/>
          <w:color w:val="auto"/>
          <w:kern w:val="0"/>
          <w:sz w:val="32"/>
          <w:szCs w:val="32"/>
          <w:lang w:val="en-US" w:eastAsia="zh-CN"/>
        </w:rPr>
        <w:t xml:space="preserve">第七条 </w:t>
      </w:r>
      <w:r>
        <w:rPr>
          <w:rFonts w:hint="eastAsia" w:ascii="仿宋_GB2312" w:hAnsi="Verdana" w:cs="宋体"/>
          <w:b w:val="0"/>
          <w:bCs/>
          <w:color w:val="auto"/>
          <w:kern w:val="0"/>
          <w:sz w:val="32"/>
          <w:szCs w:val="32"/>
          <w:lang w:val="en-US" w:eastAsia="zh-CN"/>
        </w:rPr>
        <w:t>属于本办法第六条第（一）（二）项情形的，纳税人应提交法院判决书、裁定书、仲裁机构裁决书、拍卖公告、拍卖成交确认书等相关证明资料。</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0" w:firstLineChars="200"/>
        <w:textAlignment w:val="auto"/>
        <w:outlineLvl w:val="9"/>
        <w:rPr>
          <w:rFonts w:hint="eastAsia" w:ascii="仿宋_GB2312" w:hAnsi="仿宋_GB2312" w:eastAsia="仿宋_GB2312"/>
          <w:b w:val="0"/>
          <w:bCs/>
          <w:color w:val="auto"/>
          <w:sz w:val="32"/>
          <w:szCs w:val="32"/>
        </w:rPr>
      </w:pPr>
      <w:r>
        <w:rPr>
          <w:rFonts w:hint="eastAsia" w:ascii="仿宋_GB2312" w:hAnsi="Verdana" w:cs="宋体"/>
          <w:b w:val="0"/>
          <w:bCs/>
          <w:color w:val="auto"/>
          <w:kern w:val="0"/>
          <w:sz w:val="32"/>
          <w:szCs w:val="32"/>
          <w:lang w:val="en-US" w:eastAsia="zh-CN"/>
        </w:rPr>
        <w:t>属于本办法第六条第（三）项情形的，纳税人应提供能证明交易双方关系和成本价的相关资料。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3" w:firstLineChars="200"/>
        <w:textAlignment w:val="auto"/>
        <w:outlineLvl w:val="9"/>
        <w:rPr>
          <w:rFonts w:hint="eastAsia" w:ascii="仿宋_GB2312" w:hAnsi="Verdana" w:cs="宋体"/>
          <w:b w:val="0"/>
          <w:bCs/>
          <w:color w:val="auto"/>
          <w:kern w:val="0"/>
          <w:sz w:val="32"/>
          <w:szCs w:val="32"/>
          <w:lang w:val="en-US" w:eastAsia="zh-CN"/>
        </w:rPr>
      </w:pPr>
      <w:r>
        <w:rPr>
          <w:rFonts w:hint="eastAsia" w:ascii="仿宋_GB2312" w:hAnsi="Verdana" w:cs="宋体"/>
          <w:b/>
          <w:bCs w:val="0"/>
          <w:color w:val="auto"/>
          <w:kern w:val="0"/>
          <w:sz w:val="32"/>
          <w:szCs w:val="32"/>
          <w:lang w:val="en-US" w:eastAsia="zh-CN"/>
        </w:rPr>
        <w:t>第八条</w:t>
      </w:r>
      <w:r>
        <w:rPr>
          <w:rFonts w:hint="eastAsia" w:ascii="仿宋_GB2312" w:hAnsi="Verdana" w:cs="宋体"/>
          <w:b w:val="0"/>
          <w:bCs/>
          <w:color w:val="auto"/>
          <w:kern w:val="0"/>
          <w:sz w:val="32"/>
          <w:szCs w:val="32"/>
          <w:lang w:val="en-US" w:eastAsia="zh-CN"/>
        </w:rPr>
        <w:t xml:space="preserve"> 纳税人对主管税务机关审核结果有异议，可在收到主管税务机关</w:t>
      </w:r>
      <w:r>
        <w:rPr>
          <w:rFonts w:hint="eastAsia" w:ascii="仿宋_GB2312" w:hAnsi="Verdana" w:cs="宋体"/>
          <w:bCs/>
          <w:color w:val="auto"/>
          <w:kern w:val="0"/>
          <w:szCs w:val="32"/>
        </w:rPr>
        <w:t>审核结果</w:t>
      </w:r>
      <w:r>
        <w:rPr>
          <w:rFonts w:hint="eastAsia" w:ascii="仿宋_GB2312" w:hAnsi="Verdana" w:cs="宋体"/>
          <w:b w:val="0"/>
          <w:bCs/>
          <w:color w:val="auto"/>
          <w:kern w:val="0"/>
          <w:sz w:val="32"/>
          <w:szCs w:val="32"/>
          <w:lang w:val="en-US" w:eastAsia="zh-CN"/>
        </w:rPr>
        <w:t>后15个工作日内，自行聘请评估机构</w:t>
      </w:r>
      <w:r>
        <w:rPr>
          <w:rFonts w:hint="eastAsia" w:ascii="仿宋_GB2312" w:hAnsi="Verdana" w:cs="宋体"/>
          <w:b w:val="0"/>
          <w:bCs/>
          <w:color w:val="auto"/>
          <w:kern w:val="0"/>
          <w:sz w:val="32"/>
          <w:szCs w:val="32"/>
          <w:highlight w:val="none"/>
          <w:lang w:val="en-US" w:eastAsia="zh-CN"/>
        </w:rPr>
        <w:t>（可以参考但不限于国家税务总局佛山市税务局网站公告评估公司名单）</w:t>
      </w:r>
      <w:r>
        <w:rPr>
          <w:rFonts w:hint="eastAsia" w:ascii="仿宋_GB2312" w:hAnsi="Verdana" w:cs="宋体"/>
          <w:b w:val="0"/>
          <w:bCs/>
          <w:color w:val="auto"/>
          <w:kern w:val="0"/>
          <w:sz w:val="32"/>
          <w:szCs w:val="32"/>
          <w:lang w:val="en-US" w:eastAsia="zh-CN"/>
        </w:rPr>
        <w:t>进行评估</w:t>
      </w:r>
      <w:r>
        <w:rPr>
          <w:rFonts w:hint="eastAsia" w:ascii="仿宋_GB2312" w:hAnsi="Verdana" w:cs="宋体"/>
          <w:b w:val="0"/>
          <w:bCs/>
          <w:color w:val="auto"/>
          <w:kern w:val="0"/>
          <w:sz w:val="32"/>
          <w:szCs w:val="32"/>
          <w:highlight w:val="none"/>
          <w:lang w:val="en-US" w:eastAsia="zh-CN"/>
        </w:rPr>
        <w:t>，并向主管税务机关提交评估报告，费用由纳税人自行承担。</w:t>
      </w:r>
      <w:r>
        <w:rPr>
          <w:rFonts w:hint="eastAsia" w:ascii="仿宋_GB2312" w:hAnsi="Verdana" w:cs="宋体"/>
          <w:b w:val="0"/>
          <w:bCs/>
          <w:color w:val="auto"/>
          <w:kern w:val="0"/>
          <w:sz w:val="32"/>
          <w:szCs w:val="32"/>
          <w:lang w:val="en-US" w:eastAsia="zh-CN"/>
        </w:rPr>
        <w:t>纳税人提供的自费评估报告应包含评估技术报告，反映其评估过程。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3" w:firstLineChars="200"/>
        <w:textAlignment w:val="auto"/>
        <w:outlineLvl w:val="9"/>
        <w:rPr>
          <w:rFonts w:hint="default" w:ascii="仿宋_GB2312" w:hAnsi="Verdana" w:cs="宋体"/>
          <w:b w:val="0"/>
          <w:bCs/>
          <w:color w:val="auto"/>
          <w:kern w:val="0"/>
          <w:sz w:val="32"/>
          <w:szCs w:val="32"/>
          <w:lang w:val="en-US" w:eastAsia="zh-CN"/>
        </w:rPr>
      </w:pPr>
      <w:r>
        <w:rPr>
          <w:rFonts w:hint="eastAsia" w:ascii="仿宋_GB2312" w:hAnsi="Verdana" w:cs="宋体"/>
          <w:b/>
          <w:bCs w:val="0"/>
          <w:color w:val="auto"/>
          <w:kern w:val="0"/>
          <w:sz w:val="32"/>
          <w:szCs w:val="32"/>
          <w:lang w:val="en-US" w:eastAsia="zh-CN"/>
        </w:rPr>
        <w:t>第九条</w:t>
      </w:r>
      <w:r>
        <w:rPr>
          <w:rFonts w:hint="eastAsia" w:ascii="仿宋_GB2312" w:hAnsi="Verdana" w:cs="宋体"/>
          <w:b w:val="0"/>
          <w:bCs/>
          <w:color w:val="auto"/>
          <w:kern w:val="0"/>
          <w:sz w:val="32"/>
          <w:szCs w:val="32"/>
          <w:lang w:val="en-US" w:eastAsia="zh-CN"/>
        </w:rPr>
        <w:t xml:space="preserve"> 纳税人提供的自费评估报告</w:t>
      </w:r>
      <w:r>
        <w:rPr>
          <w:rFonts w:hint="default" w:ascii="仿宋_GB2312" w:hAnsi="Verdana" w:cs="宋体"/>
          <w:b w:val="0"/>
          <w:bCs/>
          <w:color w:val="auto"/>
          <w:kern w:val="0"/>
          <w:sz w:val="32"/>
          <w:szCs w:val="32"/>
          <w:lang w:val="en-US" w:eastAsia="zh-CN"/>
        </w:rPr>
        <w:t>数据明显不合理且出具报告的评估机构拒绝修订，主管税务</w:t>
      </w:r>
      <w:r>
        <w:rPr>
          <w:rFonts w:hint="eastAsia" w:ascii="仿宋_GB2312" w:hAnsi="Verdana" w:cs="宋体"/>
          <w:b w:val="0"/>
          <w:bCs/>
          <w:color w:val="auto"/>
          <w:kern w:val="0"/>
          <w:sz w:val="32"/>
          <w:szCs w:val="32"/>
          <w:lang w:val="en-US" w:eastAsia="zh-CN"/>
        </w:rPr>
        <w:t>机关</w:t>
      </w:r>
      <w:r>
        <w:rPr>
          <w:rFonts w:hint="default" w:ascii="仿宋_GB2312" w:hAnsi="Verdana" w:cs="宋体"/>
          <w:b w:val="0"/>
          <w:bCs/>
          <w:color w:val="auto"/>
          <w:kern w:val="0"/>
          <w:sz w:val="32"/>
          <w:szCs w:val="32"/>
          <w:lang w:val="en-US" w:eastAsia="zh-CN"/>
        </w:rPr>
        <w:t>将评估报告转交佛山市房地产业协会开展专家评审，并</w:t>
      </w:r>
      <w:r>
        <w:rPr>
          <w:rFonts w:hint="eastAsia" w:ascii="仿宋_GB2312" w:hAnsi="Verdana" w:cs="宋体"/>
          <w:b w:val="0"/>
          <w:bCs/>
          <w:color w:val="auto"/>
          <w:kern w:val="0"/>
          <w:sz w:val="32"/>
          <w:szCs w:val="32"/>
          <w:lang w:val="en-US" w:eastAsia="zh-CN"/>
        </w:rPr>
        <w:t>根据专家评审结果</w:t>
      </w:r>
      <w:r>
        <w:rPr>
          <w:rFonts w:hint="default" w:ascii="仿宋_GB2312" w:hAnsi="Verdana" w:cs="宋体"/>
          <w:b w:val="0"/>
          <w:bCs/>
          <w:color w:val="auto"/>
          <w:kern w:val="0"/>
          <w:sz w:val="32"/>
          <w:szCs w:val="32"/>
          <w:lang w:val="en-US" w:eastAsia="zh-CN"/>
        </w:rPr>
        <w:t>确定</w:t>
      </w:r>
      <w:r>
        <w:rPr>
          <w:rFonts w:hint="eastAsia" w:ascii="仿宋_GB2312" w:hAnsi="Verdana" w:cs="宋体"/>
          <w:b w:val="0"/>
          <w:bCs/>
          <w:color w:val="auto"/>
          <w:kern w:val="0"/>
          <w:sz w:val="32"/>
          <w:szCs w:val="32"/>
          <w:lang w:val="en-US" w:eastAsia="zh-CN"/>
        </w:rPr>
        <w:t>交易计税</w:t>
      </w:r>
      <w:r>
        <w:rPr>
          <w:rFonts w:hint="default" w:ascii="仿宋_GB2312" w:hAnsi="Verdana" w:cs="宋体"/>
          <w:b w:val="0"/>
          <w:bCs/>
          <w:color w:val="auto"/>
          <w:kern w:val="0"/>
          <w:sz w:val="32"/>
          <w:szCs w:val="32"/>
          <w:lang w:val="en-US" w:eastAsia="zh-CN"/>
        </w:rPr>
        <w:t>价格</w:t>
      </w:r>
      <w:r>
        <w:rPr>
          <w:rFonts w:hint="eastAsia" w:ascii="仿宋_GB2312" w:hAnsi="Verdana" w:cs="宋体"/>
          <w:b w:val="0"/>
          <w:bCs/>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3" w:firstLineChars="200"/>
        <w:textAlignment w:val="auto"/>
        <w:outlineLvl w:val="9"/>
        <w:rPr>
          <w:rFonts w:hint="eastAsia" w:ascii="仿宋_GB2312" w:hAnsi="Verdana" w:cs="宋体"/>
          <w:bCs/>
          <w:color w:val="auto"/>
          <w:kern w:val="0"/>
          <w:szCs w:val="32"/>
        </w:rPr>
      </w:pPr>
      <w:r>
        <w:rPr>
          <w:rFonts w:hint="eastAsia" w:ascii="仿宋_GB2312" w:hAnsi="Verdana" w:cs="宋体"/>
          <w:b/>
          <w:bCs w:val="0"/>
          <w:color w:val="auto"/>
          <w:kern w:val="0"/>
          <w:sz w:val="32"/>
          <w:szCs w:val="32"/>
          <w:lang w:val="en-US" w:eastAsia="zh-CN"/>
        </w:rPr>
        <w:t>第十条</w:t>
      </w:r>
      <w:r>
        <w:rPr>
          <w:rFonts w:hint="eastAsia" w:ascii="仿宋_GB2312" w:hAnsi="Verdana" w:cs="宋体"/>
          <w:b w:val="0"/>
          <w:bCs/>
          <w:color w:val="auto"/>
          <w:kern w:val="0"/>
          <w:sz w:val="32"/>
          <w:szCs w:val="32"/>
          <w:lang w:val="en-US" w:eastAsia="zh-CN"/>
        </w:rPr>
        <w:t xml:space="preserve"> </w:t>
      </w:r>
      <w:r>
        <w:rPr>
          <w:rFonts w:hint="eastAsia" w:ascii="仿宋_GB2312" w:hAnsi="Verdana" w:cs="宋体"/>
          <w:bCs/>
          <w:color w:val="auto"/>
          <w:kern w:val="0"/>
          <w:szCs w:val="32"/>
        </w:rPr>
        <w:t>纳税人出现以下情况，视为本次交易申报工作自动终止：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textAlignment w:val="auto"/>
        <w:outlineLvl w:val="9"/>
        <w:rPr>
          <w:rFonts w:hint="eastAsia" w:ascii="仿宋_GB2312" w:hAnsi="Verdana" w:cs="宋体"/>
          <w:bCs/>
          <w:color w:val="auto"/>
          <w:kern w:val="0"/>
          <w:szCs w:val="32"/>
        </w:rPr>
      </w:pPr>
      <w:r>
        <w:rPr>
          <w:rFonts w:hint="eastAsia" w:ascii="仿宋_GB2312" w:hAnsi="Verdana" w:cs="宋体"/>
          <w:bCs/>
          <w:color w:val="auto"/>
          <w:kern w:val="0"/>
          <w:szCs w:val="32"/>
        </w:rPr>
        <w:t>1.</w:t>
      </w:r>
      <w:r>
        <w:rPr>
          <w:rFonts w:hint="eastAsia" w:ascii="仿宋_GB2312" w:hAnsi="Verdana" w:cs="宋体"/>
          <w:bCs/>
          <w:color w:val="auto"/>
          <w:kern w:val="0"/>
          <w:szCs w:val="32"/>
          <w:lang w:eastAsia="zh-CN"/>
        </w:rPr>
        <w:t>主管税务机关已根据</w:t>
      </w:r>
      <w:r>
        <w:rPr>
          <w:rFonts w:hint="eastAsia" w:ascii="仿宋_GB2312" w:hAnsi="Verdana" w:cs="宋体"/>
          <w:bCs/>
          <w:color w:val="auto"/>
          <w:kern w:val="0"/>
          <w:szCs w:val="32"/>
        </w:rPr>
        <w:t>本办法</w:t>
      </w:r>
      <w:r>
        <w:rPr>
          <w:rFonts w:hint="eastAsia" w:ascii="仿宋_GB2312" w:hAnsi="Verdana" w:cs="宋体"/>
          <w:bCs/>
          <w:color w:val="auto"/>
          <w:kern w:val="0"/>
          <w:szCs w:val="32"/>
          <w:lang w:eastAsia="zh-CN"/>
        </w:rPr>
        <w:t>第五条的</w:t>
      </w:r>
      <w:r>
        <w:rPr>
          <w:rFonts w:hint="eastAsia" w:ascii="仿宋_GB2312" w:hAnsi="Verdana" w:cs="宋体"/>
          <w:bCs/>
          <w:color w:val="auto"/>
          <w:kern w:val="0"/>
          <w:szCs w:val="32"/>
        </w:rPr>
        <w:t>规定</w:t>
      </w:r>
      <w:r>
        <w:rPr>
          <w:rFonts w:hint="eastAsia" w:ascii="仿宋_GB2312" w:hAnsi="Verdana" w:cs="宋体"/>
          <w:bCs/>
          <w:color w:val="auto"/>
          <w:kern w:val="0"/>
          <w:szCs w:val="32"/>
          <w:lang w:eastAsia="zh-CN"/>
        </w:rPr>
        <w:t>对《</w:t>
      </w:r>
      <w:r>
        <w:rPr>
          <w:rFonts w:hint="eastAsia" w:ascii="仿宋_GB2312" w:hAnsi="Verdana" w:cs="宋体"/>
          <w:color w:val="auto"/>
          <w:kern w:val="0"/>
          <w:sz w:val="32"/>
          <w:szCs w:val="32"/>
        </w:rPr>
        <w:t>存量房交易价格估值复核申请表</w:t>
      </w:r>
      <w:r>
        <w:rPr>
          <w:rFonts w:hint="eastAsia" w:ascii="仿宋_GB2312" w:hAnsi="Verdana" w:cs="宋体"/>
          <w:bCs/>
          <w:color w:val="auto"/>
          <w:kern w:val="0"/>
          <w:szCs w:val="32"/>
          <w:lang w:eastAsia="zh-CN"/>
        </w:rPr>
        <w:t>》作出审核结果，纳税人在</w:t>
      </w:r>
      <w:r>
        <w:rPr>
          <w:rFonts w:hint="eastAsia" w:ascii="仿宋_GB2312" w:hAnsi="Verdana" w:cs="宋体"/>
          <w:bCs/>
          <w:color w:val="auto"/>
          <w:kern w:val="0"/>
          <w:szCs w:val="32"/>
        </w:rPr>
        <w:t>收到</w:t>
      </w:r>
      <w:r>
        <w:rPr>
          <w:rFonts w:hint="eastAsia" w:ascii="仿宋_GB2312" w:hAnsi="Verdana" w:cs="宋体"/>
          <w:bCs/>
          <w:color w:val="auto"/>
          <w:kern w:val="0"/>
          <w:szCs w:val="32"/>
          <w:lang w:eastAsia="zh-CN"/>
        </w:rPr>
        <w:t>该</w:t>
      </w:r>
      <w:r>
        <w:rPr>
          <w:rFonts w:hint="eastAsia" w:ascii="仿宋_GB2312" w:hAnsi="Verdana" w:cs="宋体"/>
          <w:bCs/>
          <w:color w:val="auto"/>
          <w:kern w:val="0"/>
          <w:szCs w:val="32"/>
        </w:rPr>
        <w:t>审核结果</w:t>
      </w:r>
      <w:r>
        <w:rPr>
          <w:rFonts w:hint="eastAsia" w:ascii="仿宋_GB2312" w:hAnsi="Verdana" w:cs="宋体"/>
          <w:bCs/>
          <w:color w:val="auto"/>
          <w:kern w:val="0"/>
          <w:szCs w:val="32"/>
          <w:lang w:eastAsia="zh-CN"/>
        </w:rPr>
        <w:t>后仍有争议，但</w:t>
      </w:r>
      <w:r>
        <w:rPr>
          <w:rFonts w:hint="eastAsia" w:ascii="仿宋_GB2312" w:hAnsi="Verdana" w:cs="宋体"/>
          <w:bCs/>
          <w:color w:val="auto"/>
          <w:kern w:val="0"/>
          <w:szCs w:val="32"/>
        </w:rPr>
        <w:t>逾期未按本办法第八条</w:t>
      </w:r>
      <w:r>
        <w:rPr>
          <w:rFonts w:hint="eastAsia" w:ascii="仿宋_GB2312" w:hAnsi="Verdana" w:cs="宋体"/>
          <w:bCs/>
          <w:color w:val="auto"/>
          <w:kern w:val="0"/>
          <w:szCs w:val="32"/>
          <w:lang w:eastAsia="zh-CN"/>
        </w:rPr>
        <w:t>的</w:t>
      </w:r>
      <w:r>
        <w:rPr>
          <w:rFonts w:hint="eastAsia" w:ascii="仿宋_GB2312" w:hAnsi="Verdana" w:cs="宋体"/>
          <w:bCs/>
          <w:color w:val="auto"/>
          <w:kern w:val="0"/>
          <w:szCs w:val="32"/>
        </w:rPr>
        <w:t>规定报送评估报告，也未在收到</w:t>
      </w:r>
      <w:r>
        <w:rPr>
          <w:rFonts w:hint="eastAsia" w:ascii="仿宋_GB2312" w:hAnsi="Verdana" w:cs="宋体"/>
          <w:bCs/>
          <w:color w:val="auto"/>
          <w:kern w:val="0"/>
          <w:szCs w:val="32"/>
          <w:lang w:eastAsia="zh-CN"/>
        </w:rPr>
        <w:t>该</w:t>
      </w:r>
      <w:r>
        <w:rPr>
          <w:rFonts w:hint="eastAsia" w:ascii="仿宋_GB2312" w:hAnsi="Verdana" w:cs="宋体"/>
          <w:bCs/>
          <w:color w:val="auto"/>
          <w:kern w:val="0"/>
          <w:szCs w:val="32"/>
        </w:rPr>
        <w:t>审核结果之日起10个工作日内</w:t>
      </w:r>
      <w:r>
        <w:rPr>
          <w:rFonts w:hint="eastAsia" w:ascii="仿宋_GB2312" w:hAnsi="Verdana" w:cs="宋体"/>
          <w:bCs/>
          <w:color w:val="auto"/>
          <w:kern w:val="0"/>
          <w:szCs w:val="32"/>
          <w:lang w:eastAsia="zh-CN"/>
        </w:rPr>
        <w:t>按税务机关核定计税价格</w:t>
      </w:r>
      <w:r>
        <w:rPr>
          <w:rFonts w:hint="eastAsia" w:ascii="仿宋_GB2312" w:hAnsi="Verdana" w:cs="宋体"/>
          <w:bCs/>
          <w:color w:val="auto"/>
          <w:kern w:val="0"/>
          <w:szCs w:val="32"/>
        </w:rPr>
        <w:t>缴清税款或者提供相应担保的；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right="0" w:rightChars="0" w:firstLine="640" w:firstLineChars="200"/>
        <w:textAlignment w:val="auto"/>
        <w:outlineLvl w:val="9"/>
        <w:rPr>
          <w:rFonts w:hint="eastAsia" w:ascii="仿宋_GB2312" w:hAnsi="Verdana" w:cs="宋体"/>
          <w:bCs/>
          <w:color w:val="auto"/>
          <w:kern w:val="0"/>
          <w:szCs w:val="32"/>
        </w:rPr>
      </w:pPr>
      <w:r>
        <w:rPr>
          <w:rFonts w:hint="eastAsia" w:ascii="仿宋_GB2312" w:hAnsi="Verdana" w:cs="宋体"/>
          <w:bCs/>
          <w:color w:val="auto"/>
          <w:kern w:val="0"/>
          <w:szCs w:val="32"/>
        </w:rPr>
        <w:t>2.</w:t>
      </w:r>
      <w:r>
        <w:rPr>
          <w:rFonts w:hint="eastAsia" w:ascii="仿宋_GB2312" w:hAnsi="Verdana" w:cs="宋体"/>
          <w:bCs/>
          <w:color w:val="auto"/>
          <w:kern w:val="0"/>
          <w:szCs w:val="32"/>
          <w:lang w:eastAsia="zh-CN"/>
        </w:rPr>
        <w:t>主管税务机关根据</w:t>
      </w:r>
      <w:r>
        <w:rPr>
          <w:rFonts w:hint="eastAsia" w:ascii="仿宋_GB2312" w:hAnsi="Verdana" w:cs="宋体"/>
          <w:bCs/>
          <w:color w:val="auto"/>
          <w:kern w:val="0"/>
          <w:szCs w:val="32"/>
        </w:rPr>
        <w:t>本办法</w:t>
      </w:r>
      <w:r>
        <w:rPr>
          <w:rFonts w:hint="eastAsia" w:ascii="仿宋_GB2312" w:hAnsi="Verdana" w:cs="宋体"/>
          <w:bCs/>
          <w:color w:val="auto"/>
          <w:kern w:val="0"/>
          <w:szCs w:val="32"/>
          <w:lang w:eastAsia="zh-CN"/>
        </w:rPr>
        <w:t>第九条的规定确定最终</w:t>
      </w:r>
      <w:r>
        <w:rPr>
          <w:rFonts w:hint="eastAsia" w:ascii="仿宋_GB2312" w:hAnsi="Verdana" w:cs="宋体"/>
          <w:b w:val="0"/>
          <w:bCs/>
          <w:color w:val="auto"/>
          <w:kern w:val="0"/>
          <w:sz w:val="32"/>
          <w:szCs w:val="32"/>
          <w:lang w:val="en-US" w:eastAsia="zh-CN"/>
        </w:rPr>
        <w:t>交易计税</w:t>
      </w:r>
      <w:r>
        <w:rPr>
          <w:rFonts w:hint="default" w:ascii="仿宋_GB2312" w:hAnsi="Verdana" w:cs="宋体"/>
          <w:b w:val="0"/>
          <w:bCs/>
          <w:color w:val="auto"/>
          <w:kern w:val="0"/>
          <w:sz w:val="32"/>
          <w:szCs w:val="32"/>
          <w:lang w:val="en-US" w:eastAsia="zh-CN"/>
        </w:rPr>
        <w:t>价格</w:t>
      </w:r>
      <w:r>
        <w:rPr>
          <w:rFonts w:hint="eastAsia" w:ascii="仿宋_GB2312" w:hAnsi="Verdana" w:cs="宋体"/>
          <w:b w:val="0"/>
          <w:bCs/>
          <w:color w:val="auto"/>
          <w:kern w:val="0"/>
          <w:sz w:val="32"/>
          <w:szCs w:val="32"/>
          <w:lang w:val="en-US" w:eastAsia="zh-CN"/>
        </w:rPr>
        <w:t>，</w:t>
      </w:r>
      <w:r>
        <w:rPr>
          <w:rFonts w:hint="eastAsia" w:ascii="仿宋_GB2312" w:hAnsi="Verdana" w:cs="宋体"/>
          <w:bCs/>
          <w:color w:val="auto"/>
          <w:kern w:val="0"/>
          <w:szCs w:val="32"/>
        </w:rPr>
        <w:t>纳税人在收到</w:t>
      </w:r>
      <w:r>
        <w:rPr>
          <w:rFonts w:hint="eastAsia" w:ascii="仿宋_GB2312" w:hAnsi="Verdana" w:cs="宋体"/>
          <w:bCs/>
          <w:color w:val="auto"/>
          <w:kern w:val="0"/>
          <w:szCs w:val="32"/>
          <w:lang w:eastAsia="zh-CN"/>
        </w:rPr>
        <w:t>最终</w:t>
      </w:r>
      <w:r>
        <w:rPr>
          <w:rFonts w:hint="eastAsia" w:ascii="仿宋_GB2312" w:hAnsi="Verdana" w:cs="宋体"/>
          <w:b w:val="0"/>
          <w:bCs/>
          <w:color w:val="auto"/>
          <w:kern w:val="0"/>
          <w:sz w:val="32"/>
          <w:szCs w:val="32"/>
          <w:lang w:val="en-US" w:eastAsia="zh-CN"/>
        </w:rPr>
        <w:t>交易计税</w:t>
      </w:r>
      <w:r>
        <w:rPr>
          <w:rFonts w:hint="default" w:ascii="仿宋_GB2312" w:hAnsi="Verdana" w:cs="宋体"/>
          <w:b w:val="0"/>
          <w:bCs/>
          <w:color w:val="auto"/>
          <w:kern w:val="0"/>
          <w:sz w:val="32"/>
          <w:szCs w:val="32"/>
          <w:lang w:val="en-US" w:eastAsia="zh-CN"/>
        </w:rPr>
        <w:t>价格</w:t>
      </w:r>
      <w:r>
        <w:rPr>
          <w:rFonts w:hint="eastAsia"/>
          <w:color w:val="auto"/>
          <w:lang w:eastAsia="zh-CN"/>
        </w:rPr>
        <w:t>之日</w:t>
      </w:r>
      <w:r>
        <w:rPr>
          <w:rFonts w:hint="eastAsia" w:ascii="仿宋_GB2312" w:hAnsi="Verdana" w:cs="宋体"/>
          <w:bCs/>
          <w:color w:val="auto"/>
          <w:kern w:val="0"/>
          <w:szCs w:val="32"/>
        </w:rPr>
        <w:t>起10个工作日内未缴清税款或者</w:t>
      </w:r>
      <w:r>
        <w:rPr>
          <w:rFonts w:hint="eastAsia" w:ascii="仿宋_GB2312" w:hAnsi="Verdana" w:cs="宋体"/>
          <w:bCs/>
          <w:color w:val="auto"/>
          <w:kern w:val="0"/>
          <w:szCs w:val="32"/>
          <w:lang w:eastAsia="zh-CN"/>
        </w:rPr>
        <w:t>未</w:t>
      </w:r>
      <w:r>
        <w:rPr>
          <w:rFonts w:hint="eastAsia" w:ascii="仿宋_GB2312" w:hAnsi="Verdana" w:cs="宋体"/>
          <w:bCs/>
          <w:color w:val="auto"/>
          <w:kern w:val="0"/>
          <w:szCs w:val="32"/>
        </w:rPr>
        <w:t>提供相应担保的。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楷体" w:cs="楷体"/>
          <w:b/>
          <w:color w:val="auto"/>
          <w:kern w:val="0"/>
          <w:sz w:val="32"/>
          <w:szCs w:val="32"/>
        </w:rPr>
      </w:pPr>
      <w:r>
        <w:rPr>
          <w:rFonts w:hint="eastAsia" w:ascii="仿宋_GB2312" w:hAnsi="Verdana" w:cs="宋体"/>
          <w:b/>
          <w:bCs w:val="0"/>
          <w:color w:val="auto"/>
          <w:kern w:val="0"/>
          <w:sz w:val="32"/>
          <w:szCs w:val="32"/>
          <w:lang w:val="en-US" w:eastAsia="zh-CN"/>
        </w:rPr>
        <w:t>第十一条</w:t>
      </w:r>
      <w:r>
        <w:rPr>
          <w:rFonts w:hint="eastAsia" w:ascii="仿宋_GB2312" w:hAnsi="Verdana" w:cs="宋体"/>
          <w:b w:val="0"/>
          <w:bCs/>
          <w:color w:val="auto"/>
          <w:kern w:val="0"/>
          <w:sz w:val="32"/>
          <w:szCs w:val="32"/>
          <w:lang w:val="en-US" w:eastAsia="zh-CN"/>
        </w:rPr>
        <w:t xml:space="preserve"> 纳税人不愿意采用自费评估方式或者对</w:t>
      </w:r>
      <w:r>
        <w:rPr>
          <w:rFonts w:hint="eastAsia" w:ascii="仿宋_GB2312" w:hAnsi="Verdana" w:cs="宋体"/>
          <w:bCs/>
          <w:color w:val="auto"/>
          <w:kern w:val="0"/>
          <w:szCs w:val="32"/>
        </w:rPr>
        <w:t>主管税务机关</w:t>
      </w:r>
      <w:r>
        <w:rPr>
          <w:rFonts w:hint="eastAsia" w:ascii="仿宋_GB2312" w:hAnsi="Verdana" w:cs="宋体"/>
          <w:b w:val="0"/>
          <w:bCs/>
          <w:color w:val="auto"/>
          <w:kern w:val="0"/>
          <w:sz w:val="32"/>
          <w:szCs w:val="32"/>
          <w:lang w:val="en-US" w:eastAsia="zh-CN"/>
        </w:rPr>
        <w:t>最终核定计税价格仍有争议的，可以</w:t>
      </w:r>
      <w:r>
        <w:rPr>
          <w:rFonts w:hint="eastAsia" w:ascii="仿宋_GB2312" w:hAnsi="Verdana" w:cs="宋体"/>
          <w:color w:val="auto"/>
          <w:kern w:val="0"/>
          <w:sz w:val="32"/>
          <w:szCs w:val="32"/>
          <w:lang w:eastAsia="zh-CN"/>
        </w:rPr>
        <w:t>根据《中华人民共和国税收征收管理法》第八十八条</w:t>
      </w:r>
      <w:bookmarkStart w:id="0" w:name="_GoBack"/>
      <w:bookmarkEnd w:id="0"/>
      <w:r>
        <w:rPr>
          <w:rFonts w:hint="eastAsia" w:ascii="仿宋_GB2312" w:hAnsi="Verdana" w:cs="宋体"/>
          <w:color w:val="auto"/>
          <w:kern w:val="0"/>
          <w:sz w:val="32"/>
          <w:szCs w:val="32"/>
          <w:lang w:eastAsia="zh-CN"/>
        </w:rPr>
        <w:t>规定，先行缴纳税款或者提供相应担保，在缴清税款或者所提供的担保得到作出具体行政行为的税务机关确认之日起60日内申请行政复议；对行政复议决定不服的，可以依法向人民法院提起行政诉讼。</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color w:val="auto"/>
          <w:kern w:val="0"/>
          <w:sz w:val="32"/>
          <w:szCs w:val="32"/>
        </w:rPr>
      </w:pPr>
      <w:r>
        <w:rPr>
          <w:rFonts w:hint="eastAsia" w:ascii="仿宋_GB2312" w:hAnsi="Verdana" w:cs="宋体"/>
          <w:b/>
          <w:color w:val="auto"/>
          <w:kern w:val="0"/>
          <w:sz w:val="32"/>
          <w:szCs w:val="32"/>
        </w:rPr>
        <w:t>第</w:t>
      </w:r>
      <w:r>
        <w:rPr>
          <w:rFonts w:hint="eastAsia" w:ascii="仿宋_GB2312" w:hAnsi="Verdana" w:cs="宋体"/>
          <w:b/>
          <w:color w:val="auto"/>
          <w:kern w:val="0"/>
          <w:sz w:val="32"/>
          <w:szCs w:val="32"/>
          <w:lang w:eastAsia="zh-CN"/>
        </w:rPr>
        <w:t>十二</w:t>
      </w:r>
      <w:r>
        <w:rPr>
          <w:rFonts w:hint="eastAsia" w:ascii="仿宋_GB2312" w:hAnsi="Verdana" w:cs="宋体"/>
          <w:b/>
          <w:color w:val="auto"/>
          <w:kern w:val="0"/>
          <w:sz w:val="32"/>
          <w:szCs w:val="32"/>
        </w:rPr>
        <w:t xml:space="preserve">条 </w:t>
      </w:r>
      <w:r>
        <w:rPr>
          <w:rFonts w:hint="eastAsia" w:ascii="仿宋_GB2312" w:hAnsi="Verdana" w:cs="宋体"/>
          <w:color w:val="auto"/>
          <w:kern w:val="0"/>
          <w:sz w:val="32"/>
          <w:szCs w:val="32"/>
        </w:rPr>
        <w:t>本办法由</w:t>
      </w:r>
      <w:r>
        <w:rPr>
          <w:rFonts w:hint="eastAsia" w:ascii="仿宋_GB2312" w:hAnsi="Verdana" w:cs="宋体"/>
          <w:color w:val="auto"/>
          <w:kern w:val="0"/>
          <w:sz w:val="32"/>
          <w:szCs w:val="32"/>
          <w:lang w:eastAsia="zh-CN"/>
        </w:rPr>
        <w:t>国家税务总局佛山</w:t>
      </w:r>
      <w:r>
        <w:rPr>
          <w:rFonts w:hint="eastAsia" w:ascii="仿宋_GB2312" w:hAnsi="Verdana" w:cs="宋体"/>
          <w:color w:val="auto"/>
          <w:kern w:val="0"/>
          <w:sz w:val="32"/>
          <w:szCs w:val="32"/>
        </w:rPr>
        <w:t>市税务局负责解释。本办法未尽事宜</w:t>
      </w:r>
      <w:r>
        <w:rPr>
          <w:rFonts w:hint="eastAsia" w:ascii="仿宋_GB2312" w:hAnsi="Verdana" w:cs="宋体"/>
          <w:color w:val="auto"/>
          <w:kern w:val="0"/>
          <w:sz w:val="32"/>
          <w:szCs w:val="32"/>
          <w:lang w:eastAsia="zh-CN"/>
        </w:rPr>
        <w:t>，</w:t>
      </w:r>
      <w:r>
        <w:rPr>
          <w:rFonts w:hint="eastAsia" w:ascii="仿宋_GB2312" w:hAnsi="Verdana" w:cs="宋体"/>
          <w:color w:val="auto"/>
          <w:kern w:val="0"/>
          <w:sz w:val="32"/>
          <w:szCs w:val="32"/>
        </w:rPr>
        <w:t>按照现行税收法律法规</w:t>
      </w:r>
      <w:r>
        <w:rPr>
          <w:rFonts w:hint="eastAsia" w:ascii="仿宋_GB2312" w:hAnsi="Verdana" w:cs="宋体"/>
          <w:color w:val="auto"/>
          <w:kern w:val="0"/>
          <w:sz w:val="32"/>
          <w:szCs w:val="32"/>
          <w:lang w:eastAsia="zh-CN"/>
        </w:rPr>
        <w:t>规章</w:t>
      </w:r>
      <w:r>
        <w:rPr>
          <w:rFonts w:hint="eastAsia" w:ascii="仿宋_GB2312" w:hAnsi="Verdana" w:cs="宋体"/>
          <w:color w:val="auto"/>
          <w:kern w:val="0"/>
          <w:sz w:val="32"/>
          <w:szCs w:val="32"/>
        </w:rPr>
        <w:t>和规范性文件规定执行。</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r>
        <w:rPr>
          <w:rFonts w:hint="eastAsia" w:ascii="仿宋_GB2312" w:hAnsi="仿宋_GB2312" w:cs="仿宋_GB2312"/>
          <w:b/>
          <w:bCs w:val="0"/>
          <w:color w:val="auto"/>
          <w:kern w:val="0"/>
          <w:sz w:val="32"/>
          <w:szCs w:val="32"/>
          <w:lang w:eastAsia="zh-CN"/>
        </w:rPr>
        <w:t>第十三条</w:t>
      </w:r>
      <w:r>
        <w:rPr>
          <w:rFonts w:hint="eastAsia" w:ascii="仿宋_GB2312" w:hAnsi="仿宋_GB2312" w:cs="仿宋_GB2312"/>
          <w:b w:val="0"/>
          <w:bCs/>
          <w:color w:val="auto"/>
          <w:kern w:val="0"/>
          <w:sz w:val="32"/>
          <w:szCs w:val="32"/>
          <w:lang w:val="en-US" w:eastAsia="zh-CN"/>
        </w:rPr>
        <w:t xml:space="preserve"> 本办法</w:t>
      </w:r>
      <w:r>
        <w:rPr>
          <w:rFonts w:hint="eastAsia" w:ascii="仿宋_GB2312" w:hAnsi="仿宋_GB2312" w:eastAsia="仿宋_GB2312" w:cs="仿宋_GB2312"/>
          <w:b w:val="0"/>
          <w:bCs/>
          <w:color w:val="auto"/>
          <w:kern w:val="0"/>
          <w:sz w:val="32"/>
          <w:szCs w:val="32"/>
          <w:lang w:eastAsia="zh-CN"/>
        </w:rPr>
        <w:t>自公布之日起施行</w:t>
      </w:r>
      <w:r>
        <w:rPr>
          <w:rFonts w:hint="eastAsia" w:ascii="仿宋_GB2312" w:hAnsi="仿宋_GB2312" w:cs="仿宋_GB2312"/>
          <w:b w:val="0"/>
          <w:bCs/>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643" w:firstLineChars="200"/>
        <w:textAlignment w:val="auto"/>
        <w:outlineLvl w:val="9"/>
        <w:rPr>
          <w:rFonts w:hint="eastAsia" w:ascii="仿宋_GB2312" w:hAnsi="Verdana" w:cs="宋体"/>
          <w:b/>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textAlignment w:val="auto"/>
        <w:outlineLvl w:val="9"/>
        <w:rPr>
          <w:rFonts w:hint="eastAsia" w:ascii="仿宋_GB2312" w:hAnsi="Verdana" w:cs="宋体"/>
          <w:b/>
          <w:color w:val="auto"/>
          <w:kern w:val="0"/>
          <w:sz w:val="32"/>
          <w:szCs w:val="32"/>
        </w:rPr>
      </w:pPr>
    </w:p>
    <w:p>
      <w:pPr>
        <w:pStyle w:val="2"/>
        <w:rPr>
          <w:rFonts w:hint="eastAsia" w:eastAsia="仿宋_GB2312"/>
          <w:lang w:val="en-US" w:eastAsia="zh-CN"/>
        </w:rPr>
      </w:pPr>
    </w:p>
    <w:p>
      <w:pPr>
        <w:pStyle w:val="2"/>
        <w:rPr>
          <w:rFonts w:hint="eastAsia" w:eastAsia="仿宋_GB2312"/>
          <w:lang w:val="en-US" w:eastAsia="zh-CN"/>
        </w:rPr>
      </w:pPr>
    </w:p>
    <w:p>
      <w:pPr>
        <w:rPr>
          <w:rFonts w:hint="eastAsia" w:ascii="黑体" w:hAnsi="黑体" w:eastAsia="黑体" w:cs="黑体"/>
          <w:color w:val="auto"/>
          <w:lang w:eastAsia="zh-CN"/>
        </w:rPr>
      </w:pPr>
      <w:r>
        <w:rPr>
          <w:rFonts w:hint="eastAsia" w:ascii="黑体" w:hAnsi="黑体" w:eastAsia="黑体" w:cs="黑体"/>
          <w:color w:val="auto"/>
          <w:lang w:eastAsia="zh-CN"/>
        </w:rPr>
        <w:t>附件</w:t>
      </w:r>
    </w:p>
    <w:p>
      <w:pPr>
        <w:ind w:firstLine="1928" w:firstLineChars="600"/>
        <w:rPr>
          <w:rFonts w:hint="eastAsia" w:ascii="仿宋_GB2312" w:hAnsi="宋体" w:eastAsia="仿宋_GB2312"/>
          <w:color w:val="auto"/>
          <w:sz w:val="32"/>
          <w:szCs w:val="32"/>
        </w:rPr>
      </w:pPr>
      <w:r>
        <w:rPr>
          <w:rFonts w:hint="eastAsia" w:ascii="黑体" w:hAnsi="宋体" w:eastAsia="黑体"/>
          <w:b/>
          <w:bCs/>
          <w:color w:val="auto"/>
          <w:sz w:val="32"/>
          <w:szCs w:val="32"/>
          <w:lang w:val="zh-CN"/>
        </w:rPr>
        <w:t>存量房交易价格估值复核申请表</w:t>
      </w:r>
    </w:p>
    <w:tbl>
      <w:tblPr>
        <w:tblStyle w:val="3"/>
        <w:tblpPr w:leftFromText="180" w:rightFromText="180" w:vertAnchor="text" w:horzAnchor="page" w:tblpX="1537" w:tblpY="581"/>
        <w:tblOverlap w:val="never"/>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035"/>
        <w:gridCol w:w="660"/>
        <w:gridCol w:w="910"/>
        <w:gridCol w:w="265"/>
        <w:gridCol w:w="1031"/>
        <w:gridCol w:w="268"/>
        <w:gridCol w:w="1278"/>
        <w:gridCol w:w="533"/>
        <w:gridCol w:w="957"/>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710" w:type="dxa"/>
            <w:gridSpan w:val="2"/>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房地产用途</w:t>
            </w:r>
          </w:p>
        </w:tc>
        <w:tc>
          <w:tcPr>
            <w:tcW w:w="1570" w:type="dxa"/>
            <w:gridSpan w:val="2"/>
            <w:noWrap w:val="0"/>
            <w:vAlign w:val="center"/>
          </w:tcPr>
          <w:p>
            <w:pPr>
              <w:jc w:val="center"/>
              <w:rPr>
                <w:rFonts w:hint="eastAsia" w:ascii="仿宋_GB2312" w:hAnsi="仿宋_GB2312" w:eastAsia="仿宋_GB2312" w:cs="仿宋_GB2312"/>
                <w:color w:val="auto"/>
                <w:sz w:val="24"/>
                <w:szCs w:val="24"/>
              </w:rPr>
            </w:pPr>
          </w:p>
        </w:tc>
        <w:tc>
          <w:tcPr>
            <w:tcW w:w="1296" w:type="dxa"/>
            <w:gridSpan w:val="2"/>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lang w:eastAsia="zh-CN"/>
              </w:rPr>
              <w:t>座</w:t>
            </w:r>
            <w:r>
              <w:rPr>
                <w:rFonts w:hint="eastAsia" w:ascii="仿宋_GB2312" w:hAnsi="仿宋_GB2312" w:eastAsia="仿宋_GB2312" w:cs="仿宋_GB2312"/>
                <w:b/>
                <w:bCs/>
                <w:color w:val="auto"/>
                <w:sz w:val="24"/>
                <w:szCs w:val="24"/>
              </w:rPr>
              <w:t>落地址</w:t>
            </w:r>
          </w:p>
        </w:tc>
        <w:tc>
          <w:tcPr>
            <w:tcW w:w="4274" w:type="dxa"/>
            <w:gridSpan w:val="5"/>
            <w:noWrap w:val="0"/>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0" w:type="dxa"/>
            <w:gridSpan w:val="2"/>
            <w:noWrap w:val="0"/>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套内</w:t>
            </w:r>
            <w:r>
              <w:rPr>
                <w:rFonts w:hint="eastAsia" w:ascii="仿宋_GB2312" w:hAnsi="仿宋_GB2312" w:eastAsia="仿宋_GB2312" w:cs="仿宋_GB2312"/>
                <w:b/>
                <w:bCs/>
                <w:color w:val="auto"/>
                <w:sz w:val="24"/>
                <w:szCs w:val="24"/>
              </w:rPr>
              <w:t>面积</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m</w:t>
            </w:r>
            <w:r>
              <w:rPr>
                <w:rFonts w:hint="eastAsia" w:ascii="仿宋_GB2312" w:hAnsi="仿宋_GB2312" w:eastAsia="仿宋_GB2312" w:cs="仿宋_GB2312"/>
                <w:b/>
                <w:bCs/>
                <w:color w:val="auto"/>
                <w:sz w:val="24"/>
                <w:szCs w:val="24"/>
                <w:vertAlign w:val="superscript"/>
              </w:rPr>
              <w:t>2</w:t>
            </w:r>
            <w:r>
              <w:rPr>
                <w:rFonts w:hint="eastAsia" w:ascii="仿宋_GB2312" w:hAnsi="仿宋_GB2312" w:eastAsia="仿宋_GB2312" w:cs="仿宋_GB2312"/>
                <w:b/>
                <w:bCs/>
                <w:color w:val="auto"/>
                <w:sz w:val="24"/>
                <w:szCs w:val="24"/>
              </w:rPr>
              <w:t>）</w:t>
            </w:r>
          </w:p>
        </w:tc>
        <w:tc>
          <w:tcPr>
            <w:tcW w:w="1570" w:type="dxa"/>
            <w:gridSpan w:val="2"/>
            <w:noWrap w:val="0"/>
            <w:vAlign w:val="center"/>
          </w:tcPr>
          <w:p>
            <w:pPr>
              <w:jc w:val="center"/>
              <w:rPr>
                <w:rFonts w:hint="eastAsia" w:ascii="仿宋_GB2312" w:hAnsi="仿宋_GB2312" w:eastAsia="仿宋_GB2312" w:cs="仿宋_GB2312"/>
                <w:b/>
                <w:bCs/>
                <w:color w:val="auto"/>
                <w:sz w:val="24"/>
                <w:szCs w:val="24"/>
              </w:rPr>
            </w:pPr>
          </w:p>
        </w:tc>
        <w:tc>
          <w:tcPr>
            <w:tcW w:w="3375" w:type="dxa"/>
            <w:gridSpan w:val="5"/>
            <w:noWrap w:val="0"/>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交易合同单价（</w:t>
            </w:r>
            <w:r>
              <w:rPr>
                <w:rFonts w:hint="eastAsia" w:ascii="仿宋_GB2312" w:hAnsi="仿宋_GB2312" w:cs="仿宋_GB2312"/>
                <w:b/>
                <w:bCs/>
                <w:color w:val="auto"/>
                <w:sz w:val="24"/>
                <w:szCs w:val="24"/>
                <w:lang w:eastAsia="zh-CN"/>
              </w:rPr>
              <w:t>不含税，</w:t>
            </w:r>
            <w:r>
              <w:rPr>
                <w:rFonts w:hint="eastAsia" w:ascii="仿宋_GB2312" w:hAnsi="仿宋_GB2312" w:eastAsia="仿宋_GB2312" w:cs="仿宋_GB2312"/>
                <w:b/>
                <w:bCs/>
                <w:color w:val="auto"/>
                <w:sz w:val="24"/>
                <w:szCs w:val="24"/>
              </w:rPr>
              <w:t>元/m</w:t>
            </w:r>
            <w:r>
              <w:rPr>
                <w:rFonts w:hint="eastAsia" w:ascii="仿宋_GB2312" w:hAnsi="仿宋_GB2312" w:eastAsia="仿宋_GB2312" w:cs="仿宋_GB2312"/>
                <w:b/>
                <w:bCs/>
                <w:color w:val="auto"/>
                <w:sz w:val="24"/>
                <w:szCs w:val="24"/>
                <w:vertAlign w:val="superscript"/>
              </w:rPr>
              <w:t>2</w:t>
            </w:r>
            <w:r>
              <w:rPr>
                <w:rFonts w:hint="eastAsia" w:ascii="仿宋_GB2312" w:hAnsi="仿宋_GB2312" w:eastAsia="仿宋_GB2312" w:cs="仿宋_GB2312"/>
                <w:b/>
                <w:bCs/>
                <w:color w:val="auto"/>
                <w:sz w:val="24"/>
                <w:szCs w:val="24"/>
              </w:rPr>
              <w:t>）</w:t>
            </w:r>
          </w:p>
        </w:tc>
        <w:tc>
          <w:tcPr>
            <w:tcW w:w="2195" w:type="dxa"/>
            <w:gridSpan w:val="2"/>
            <w:noWrap w:val="0"/>
            <w:vAlign w:val="center"/>
          </w:tcPr>
          <w:p>
            <w:pPr>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710" w:type="dxa"/>
            <w:gridSpan w:val="2"/>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建筑面积</w:t>
            </w:r>
            <w:r>
              <w:rPr>
                <w:rFonts w:hint="eastAsia" w:ascii="仿宋_GB2312" w:hAnsi="仿宋_GB2312" w:eastAsia="仿宋_GB2312" w:cs="仿宋_GB2312"/>
                <w:b/>
                <w:bCs/>
                <w:color w:val="auto"/>
                <w:sz w:val="24"/>
                <w:szCs w:val="24"/>
                <w:lang w:eastAsia="zh-CN"/>
              </w:rPr>
              <w:t>（</w:t>
            </w:r>
            <w:r>
              <w:rPr>
                <w:rFonts w:hint="eastAsia" w:ascii="仿宋_GB2312" w:hAnsi="仿宋_GB2312" w:eastAsia="仿宋_GB2312" w:cs="仿宋_GB2312"/>
                <w:b/>
                <w:bCs/>
                <w:color w:val="auto"/>
                <w:sz w:val="24"/>
                <w:szCs w:val="24"/>
              </w:rPr>
              <w:t>m</w:t>
            </w:r>
            <w:r>
              <w:rPr>
                <w:rFonts w:hint="eastAsia" w:ascii="仿宋_GB2312" w:hAnsi="仿宋_GB2312" w:eastAsia="仿宋_GB2312" w:cs="仿宋_GB2312"/>
                <w:b/>
                <w:bCs/>
                <w:color w:val="auto"/>
                <w:sz w:val="24"/>
                <w:szCs w:val="24"/>
                <w:vertAlign w:val="superscript"/>
              </w:rPr>
              <w:t>2</w:t>
            </w:r>
            <w:r>
              <w:rPr>
                <w:rFonts w:hint="eastAsia" w:ascii="仿宋_GB2312" w:hAnsi="仿宋_GB2312" w:eastAsia="仿宋_GB2312" w:cs="仿宋_GB2312"/>
                <w:b/>
                <w:bCs/>
                <w:color w:val="auto"/>
                <w:sz w:val="24"/>
                <w:szCs w:val="24"/>
              </w:rPr>
              <w:t>）</w:t>
            </w:r>
          </w:p>
        </w:tc>
        <w:tc>
          <w:tcPr>
            <w:tcW w:w="1570" w:type="dxa"/>
            <w:gridSpan w:val="2"/>
            <w:noWrap w:val="0"/>
            <w:vAlign w:val="top"/>
          </w:tcPr>
          <w:p>
            <w:pPr>
              <w:jc w:val="center"/>
              <w:rPr>
                <w:rFonts w:hint="eastAsia" w:ascii="仿宋_GB2312" w:hAnsi="仿宋_GB2312" w:eastAsia="仿宋_GB2312" w:cs="仿宋_GB2312"/>
                <w:b/>
                <w:bCs/>
                <w:color w:val="auto"/>
                <w:sz w:val="24"/>
                <w:szCs w:val="24"/>
              </w:rPr>
            </w:pPr>
          </w:p>
          <w:p>
            <w:pPr>
              <w:jc w:val="center"/>
              <w:rPr>
                <w:rFonts w:hint="eastAsia" w:ascii="仿宋_GB2312" w:hAnsi="仿宋_GB2312" w:eastAsia="仿宋_GB2312" w:cs="仿宋_GB2312"/>
                <w:b/>
                <w:bCs/>
                <w:color w:val="auto"/>
                <w:sz w:val="24"/>
                <w:szCs w:val="24"/>
              </w:rPr>
            </w:pPr>
          </w:p>
        </w:tc>
        <w:tc>
          <w:tcPr>
            <w:tcW w:w="3375" w:type="dxa"/>
            <w:gridSpan w:val="5"/>
            <w:noWrap w:val="0"/>
            <w:vAlign w:val="center"/>
          </w:tcPr>
          <w:p>
            <w:pPr>
              <w:jc w:val="both"/>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rPr>
              <w:t>交易合同总额（</w:t>
            </w:r>
            <w:r>
              <w:rPr>
                <w:rFonts w:hint="eastAsia" w:ascii="仿宋_GB2312" w:hAnsi="仿宋_GB2312" w:eastAsia="仿宋_GB2312" w:cs="仿宋_GB2312"/>
                <w:b/>
                <w:bCs/>
                <w:color w:val="auto"/>
                <w:sz w:val="24"/>
                <w:szCs w:val="24"/>
                <w:lang w:val="en-US" w:eastAsia="zh-CN"/>
              </w:rPr>
              <w:t>不含税，</w:t>
            </w:r>
            <w:r>
              <w:rPr>
                <w:rFonts w:hint="eastAsia" w:ascii="仿宋_GB2312" w:hAnsi="仿宋_GB2312" w:eastAsia="仿宋_GB2312" w:cs="仿宋_GB2312"/>
                <w:b/>
                <w:bCs/>
                <w:color w:val="auto"/>
                <w:sz w:val="24"/>
                <w:szCs w:val="24"/>
              </w:rPr>
              <w:t>元）</w:t>
            </w:r>
          </w:p>
        </w:tc>
        <w:tc>
          <w:tcPr>
            <w:tcW w:w="2195" w:type="dxa"/>
            <w:gridSpan w:val="2"/>
            <w:noWrap w:val="0"/>
            <w:vAlign w:val="top"/>
          </w:tcPr>
          <w:p>
            <w:pPr>
              <w:jc w:val="center"/>
              <w:rPr>
                <w:rFonts w:hint="eastAsia" w:ascii="仿宋_GB2312" w:hAnsi="仿宋_GB2312" w:eastAsia="仿宋_GB2312" w:cs="仿宋_GB2312"/>
                <w:b/>
                <w:bCs/>
                <w:color w:val="auto"/>
                <w:sz w:val="24"/>
                <w:szCs w:val="24"/>
              </w:rPr>
            </w:pPr>
          </w:p>
          <w:p>
            <w:pPr>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710" w:type="dxa"/>
            <w:gridSpan w:val="2"/>
            <w:noWrap w:val="0"/>
            <w:vAlign w:val="center"/>
          </w:tcPr>
          <w:p>
            <w:pPr>
              <w:jc w:val="center"/>
              <w:rPr>
                <w:rFonts w:hint="eastAsia" w:ascii="仿宋_GB2312" w:hAnsi="仿宋_GB2312" w:eastAsia="仿宋_GB2312" w:cs="仿宋_GB2312"/>
                <w:b/>
                <w:bCs/>
                <w:color w:val="auto"/>
                <w:sz w:val="24"/>
                <w:szCs w:val="24"/>
                <w:lang w:eastAsia="zh-CN"/>
              </w:rPr>
            </w:pPr>
            <w:r>
              <w:rPr>
                <w:rFonts w:hint="eastAsia" w:ascii="仿宋_GB2312" w:hAnsi="仿宋_GB2312" w:cs="仿宋_GB2312"/>
                <w:b/>
                <w:bCs/>
                <w:color w:val="auto"/>
                <w:sz w:val="24"/>
                <w:szCs w:val="24"/>
                <w:lang w:eastAsia="zh-CN"/>
              </w:rPr>
              <w:t>联系人</w:t>
            </w:r>
          </w:p>
        </w:tc>
        <w:tc>
          <w:tcPr>
            <w:tcW w:w="1570" w:type="dxa"/>
            <w:gridSpan w:val="2"/>
            <w:noWrap w:val="0"/>
            <w:vAlign w:val="top"/>
          </w:tcPr>
          <w:p>
            <w:pPr>
              <w:jc w:val="center"/>
              <w:rPr>
                <w:rFonts w:hint="eastAsia" w:ascii="仿宋_GB2312" w:hAnsi="仿宋_GB2312" w:eastAsia="仿宋_GB2312" w:cs="仿宋_GB2312"/>
                <w:b/>
                <w:bCs/>
                <w:color w:val="auto"/>
                <w:sz w:val="24"/>
                <w:szCs w:val="24"/>
              </w:rPr>
            </w:pPr>
          </w:p>
        </w:tc>
        <w:tc>
          <w:tcPr>
            <w:tcW w:w="3375" w:type="dxa"/>
            <w:gridSpan w:val="5"/>
            <w:noWrap w:val="0"/>
            <w:vAlign w:val="center"/>
          </w:tcPr>
          <w:p>
            <w:pPr>
              <w:jc w:val="center"/>
              <w:rPr>
                <w:rFonts w:hint="eastAsia" w:ascii="仿宋_GB2312" w:hAnsi="仿宋_GB2312" w:eastAsia="仿宋_GB2312" w:cs="仿宋_GB2312"/>
                <w:b/>
                <w:bCs/>
                <w:color w:val="auto"/>
                <w:sz w:val="24"/>
                <w:szCs w:val="24"/>
                <w:lang w:eastAsia="zh-CN"/>
              </w:rPr>
            </w:pPr>
            <w:r>
              <w:rPr>
                <w:rFonts w:hint="eastAsia" w:ascii="仿宋_GB2312" w:hAnsi="仿宋_GB2312" w:cs="仿宋_GB2312"/>
                <w:b/>
                <w:bCs/>
                <w:color w:val="auto"/>
                <w:sz w:val="24"/>
                <w:szCs w:val="24"/>
                <w:lang w:eastAsia="zh-CN"/>
              </w:rPr>
              <w:t>联系电话</w:t>
            </w:r>
          </w:p>
        </w:tc>
        <w:tc>
          <w:tcPr>
            <w:tcW w:w="2195" w:type="dxa"/>
            <w:gridSpan w:val="2"/>
            <w:noWrap w:val="0"/>
            <w:vAlign w:val="top"/>
          </w:tcPr>
          <w:p>
            <w:pPr>
              <w:jc w:val="center"/>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atLeast"/>
        </w:trPr>
        <w:tc>
          <w:tcPr>
            <w:tcW w:w="8850" w:type="dxa"/>
            <w:gridSpan w:val="11"/>
            <w:noWrap w:val="0"/>
            <w:vAlign w:val="top"/>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纳税人陈述理由：</w:t>
            </w:r>
          </w:p>
          <w:p>
            <w:pPr>
              <w:jc w:val="left"/>
              <w:rPr>
                <w:rFonts w:hint="eastAsia" w:ascii="仿宋_GB2312" w:hAnsi="仿宋_GB2312" w:eastAsia="仿宋_GB2312" w:cs="仿宋_GB2312"/>
                <w:color w:val="auto"/>
                <w:sz w:val="24"/>
                <w:szCs w:val="24"/>
              </w:rPr>
            </w:pPr>
          </w:p>
          <w:p>
            <w:pPr>
              <w:jc w:val="left"/>
              <w:rPr>
                <w:rFonts w:hint="eastAsia" w:ascii="仿宋_GB2312" w:hAnsi="仿宋_GB2312" w:eastAsia="仿宋_GB2312" w:cs="仿宋_GB2312"/>
                <w:color w:val="auto"/>
                <w:sz w:val="24"/>
                <w:szCs w:val="24"/>
              </w:rPr>
            </w:pPr>
          </w:p>
          <w:p>
            <w:pPr>
              <w:jc w:val="left"/>
              <w:rPr>
                <w:rFonts w:hint="eastAsia" w:ascii="仿宋_GB2312" w:hAnsi="仿宋_GB2312" w:eastAsia="仿宋_GB2312" w:cs="仿宋_GB2312"/>
                <w:color w:val="auto"/>
                <w:sz w:val="24"/>
                <w:szCs w:val="24"/>
              </w:rPr>
            </w:pPr>
          </w:p>
          <w:p>
            <w:pPr>
              <w:jc w:val="left"/>
              <w:rPr>
                <w:rFonts w:hint="eastAsia" w:ascii="仿宋_GB2312" w:hAnsi="仿宋_GB2312" w:eastAsia="仿宋_GB2312" w:cs="仿宋_GB2312"/>
                <w:color w:val="auto"/>
                <w:sz w:val="24"/>
                <w:szCs w:val="24"/>
              </w:rPr>
            </w:pPr>
          </w:p>
          <w:p>
            <w:pPr>
              <w:rPr>
                <w:color w:val="auto"/>
              </w:rPr>
            </w:pPr>
            <w:r>
              <w:rPr>
                <w:rFonts w:hint="eastAsia" w:ascii="仿宋_GB2312" w:hAnsi="仿宋_GB2312" w:eastAsia="仿宋_GB2312" w:cs="仿宋_GB2312"/>
                <w:color w:val="auto"/>
                <w:sz w:val="24"/>
                <w:szCs w:val="24"/>
              </w:rPr>
              <w:t>纳税人附送资料：</w:t>
            </w:r>
          </w:p>
          <w:p>
            <w:pPr>
              <w:jc w:val="left"/>
              <w:rPr>
                <w:rFonts w:hint="eastAsia" w:ascii="仿宋_GB2312" w:hAnsi="仿宋_GB2312" w:eastAsia="仿宋_GB2312" w:cs="仿宋_GB2312"/>
                <w:color w:val="auto"/>
                <w:sz w:val="24"/>
                <w:szCs w:val="24"/>
              </w:rPr>
            </w:pPr>
          </w:p>
          <w:p>
            <w:pPr>
              <w:wordWrap w:val="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ind w:right="480" w:firstLine="0" w:firstLineChars="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签名（盖章）：</w:t>
            </w:r>
            <w:r>
              <w:rPr>
                <w:rFonts w:hint="eastAsia" w:ascii="仿宋_GB2312" w:hAnsi="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w:t>
            </w:r>
            <w:r>
              <w:rPr>
                <w:rFonts w:hint="eastAsia" w:ascii="仿宋_GB2312" w:hAnsi="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850" w:type="dxa"/>
            <w:gridSpan w:val="11"/>
            <w:noWrap w:val="0"/>
            <w:vAlign w:val="center"/>
          </w:tcPr>
          <w:p>
            <w:pPr>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以下由税务机关填写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75" w:type="dxa"/>
            <w:vMerge w:val="restart"/>
            <w:noWrap w:val="0"/>
            <w:textDirection w:val="tbLrV"/>
            <w:vAlign w:val="center"/>
          </w:tcPr>
          <w:p>
            <w:pPr>
              <w:ind w:left="113" w:right="113"/>
              <w:jc w:val="center"/>
              <w:rPr>
                <w:rFonts w:hint="eastAsia" w:ascii="仿宋_GB2312" w:hAnsi="仿宋_GB2312" w:eastAsia="仿宋_GB2312" w:cs="仿宋_GB2312"/>
                <w:b/>
                <w:bCs/>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eastAsia="zh-CN"/>
              </w:rPr>
              <w:t>主管税务分局</w:t>
            </w:r>
            <w:r>
              <w:rPr>
                <w:rFonts w:hint="eastAsia" w:ascii="仿宋_GB2312" w:hAnsi="仿宋_GB2312" w:eastAsia="仿宋_GB2312" w:cs="仿宋_GB2312"/>
                <w:b/>
                <w:bCs/>
                <w:color w:val="auto"/>
                <w:sz w:val="24"/>
                <w:szCs w:val="24"/>
                <w:shd w:val="clear" w:color="auto" w:fill="auto"/>
                <w:lang w:val="en-US" w:eastAsia="zh-CN"/>
              </w:rPr>
              <w:t>(</w:t>
            </w:r>
            <w:r>
              <w:rPr>
                <w:rFonts w:hint="eastAsia" w:ascii="仿宋_GB2312" w:hAnsi="仿宋_GB2312" w:eastAsia="仿宋_GB2312" w:cs="仿宋_GB2312"/>
                <w:b/>
                <w:bCs/>
                <w:color w:val="auto"/>
                <w:sz w:val="24"/>
                <w:szCs w:val="24"/>
                <w:shd w:val="clear" w:color="auto" w:fill="auto"/>
                <w:lang w:eastAsia="zh-CN"/>
              </w:rPr>
              <w:t>所</w:t>
            </w:r>
            <w:r>
              <w:rPr>
                <w:rFonts w:hint="eastAsia" w:ascii="仿宋_GB2312" w:hAnsi="仿宋_GB2312" w:eastAsia="仿宋_GB2312" w:cs="仿宋_GB2312"/>
                <w:b/>
                <w:bCs/>
                <w:color w:val="auto"/>
                <w:sz w:val="24"/>
                <w:szCs w:val="24"/>
                <w:shd w:val="clear" w:color="auto" w:fill="auto"/>
                <w:lang w:val="en-US" w:eastAsia="zh-CN"/>
              </w:rPr>
              <w:t>)</w:t>
            </w:r>
            <w:r>
              <w:rPr>
                <w:rFonts w:hint="eastAsia" w:ascii="仿宋_GB2312" w:hAnsi="仿宋_GB2312" w:eastAsia="仿宋_GB2312" w:cs="仿宋_GB2312"/>
                <w:b/>
                <w:bCs/>
                <w:color w:val="auto"/>
                <w:sz w:val="24"/>
                <w:szCs w:val="24"/>
                <w:shd w:val="clear" w:color="auto" w:fill="auto"/>
              </w:rPr>
              <w:t>意见</w:t>
            </w:r>
          </w:p>
        </w:tc>
        <w:tc>
          <w:tcPr>
            <w:tcW w:w="1695" w:type="dxa"/>
            <w:gridSpan w:val="2"/>
            <w:noWrap w:val="0"/>
            <w:vAlign w:val="center"/>
          </w:tcPr>
          <w:p>
            <w:pPr>
              <w:wordWrap/>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系统估值价格</w:t>
            </w:r>
          </w:p>
          <w:p>
            <w:pPr>
              <w:wordWrap/>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（不含税</w:t>
            </w:r>
            <w:r>
              <w:rPr>
                <w:rFonts w:hint="eastAsia" w:ascii="仿宋_GB2312" w:hAnsi="仿宋_GB2312" w:eastAsia="仿宋_GB2312" w:cs="仿宋_GB2312"/>
                <w:color w:val="auto"/>
                <w:sz w:val="24"/>
                <w:szCs w:val="24"/>
                <w:lang w:eastAsia="zh-CN"/>
              </w:rPr>
              <w:t>，元</w:t>
            </w:r>
            <w:r>
              <w:rPr>
                <w:rFonts w:hint="eastAsia" w:ascii="仿宋_GB2312" w:hAnsi="仿宋_GB2312" w:eastAsia="仿宋_GB2312" w:cs="仿宋_GB2312"/>
                <w:color w:val="auto"/>
                <w:sz w:val="24"/>
                <w:szCs w:val="24"/>
              </w:rPr>
              <w:t>）</w:t>
            </w:r>
          </w:p>
        </w:tc>
        <w:tc>
          <w:tcPr>
            <w:tcW w:w="1175" w:type="dxa"/>
            <w:gridSpan w:val="2"/>
            <w:noWrap w:val="0"/>
            <w:vAlign w:val="top"/>
          </w:tcPr>
          <w:p>
            <w:pPr>
              <w:wordWrap/>
              <w:jc w:val="center"/>
              <w:rPr>
                <w:rFonts w:hint="eastAsia" w:ascii="仿宋_GB2312" w:hAnsi="仿宋_GB2312" w:eastAsia="仿宋_GB2312" w:cs="仿宋_GB2312"/>
                <w:color w:val="auto"/>
                <w:sz w:val="24"/>
                <w:szCs w:val="24"/>
              </w:rPr>
            </w:pPr>
          </w:p>
        </w:tc>
        <w:tc>
          <w:tcPr>
            <w:tcW w:w="1299" w:type="dxa"/>
            <w:gridSpan w:val="2"/>
            <w:noWrap w:val="0"/>
            <w:vAlign w:val="center"/>
          </w:tcPr>
          <w:p>
            <w:pPr>
              <w:wordWrap/>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办文号</w:t>
            </w:r>
          </w:p>
        </w:tc>
        <w:tc>
          <w:tcPr>
            <w:tcW w:w="1278" w:type="dxa"/>
            <w:noWrap w:val="0"/>
            <w:vAlign w:val="top"/>
          </w:tcPr>
          <w:p>
            <w:pPr>
              <w:wordWrap/>
              <w:jc w:val="center"/>
              <w:rPr>
                <w:rFonts w:hint="eastAsia" w:ascii="仿宋_GB2312" w:hAnsi="仿宋_GB2312" w:eastAsia="仿宋_GB2312" w:cs="仿宋_GB2312"/>
                <w:color w:val="auto"/>
                <w:sz w:val="24"/>
                <w:szCs w:val="24"/>
              </w:rPr>
            </w:pPr>
          </w:p>
        </w:tc>
        <w:tc>
          <w:tcPr>
            <w:tcW w:w="1490" w:type="dxa"/>
            <w:gridSpan w:val="2"/>
            <w:noWrap w:val="0"/>
            <w:vAlign w:val="center"/>
          </w:tcPr>
          <w:p>
            <w:pPr>
              <w:wordWrap/>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受理人</w:t>
            </w:r>
          </w:p>
        </w:tc>
        <w:tc>
          <w:tcPr>
            <w:tcW w:w="1238" w:type="dxa"/>
            <w:noWrap w:val="0"/>
            <w:vAlign w:val="center"/>
          </w:tcPr>
          <w:p>
            <w:pPr>
              <w:wordWrap/>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675" w:type="dxa"/>
            <w:vMerge w:val="continue"/>
            <w:noWrap w:val="0"/>
            <w:vAlign w:val="center"/>
          </w:tcPr>
          <w:p>
            <w:pPr>
              <w:jc w:val="center"/>
              <w:rPr>
                <w:rFonts w:hint="eastAsia" w:ascii="仿宋_GB2312" w:hAnsi="仿宋_GB2312" w:eastAsia="仿宋_GB2312" w:cs="仿宋_GB2312"/>
                <w:b/>
                <w:bCs/>
                <w:color w:val="auto"/>
                <w:sz w:val="24"/>
                <w:szCs w:val="24"/>
                <w:shd w:val="clear" w:color="auto" w:fill="auto"/>
              </w:rPr>
            </w:pPr>
          </w:p>
        </w:tc>
        <w:tc>
          <w:tcPr>
            <w:tcW w:w="8175" w:type="dxa"/>
            <w:gridSpan w:val="10"/>
            <w:noWrap w:val="0"/>
            <w:vAlign w:val="top"/>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审理小组成员意见：</w:t>
            </w:r>
          </w:p>
          <w:p>
            <w:pPr>
              <w:jc w:val="left"/>
              <w:rPr>
                <w:rFonts w:hint="eastAsia" w:ascii="仿宋_GB2312" w:hAnsi="仿宋_GB2312" w:eastAsia="仿宋_GB2312" w:cs="仿宋_GB2312"/>
                <w:color w:val="auto"/>
                <w:sz w:val="24"/>
                <w:szCs w:val="24"/>
              </w:rPr>
            </w:pPr>
          </w:p>
          <w:p>
            <w:pPr>
              <w:jc w:val="left"/>
              <w:rPr>
                <w:rFonts w:hint="eastAsia" w:ascii="仿宋_GB2312" w:hAnsi="仿宋_GB2312" w:eastAsia="仿宋_GB2312" w:cs="仿宋_GB2312"/>
                <w:color w:val="auto"/>
                <w:sz w:val="24"/>
                <w:szCs w:val="24"/>
              </w:rPr>
            </w:pPr>
          </w:p>
          <w:p>
            <w:pPr>
              <w:ind w:firstLine="4080" w:firstLineChars="170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675" w:type="dxa"/>
            <w:vMerge w:val="continue"/>
            <w:noWrap w:val="0"/>
            <w:vAlign w:val="top"/>
          </w:tcPr>
          <w:p>
            <w:pPr>
              <w:ind w:firstLine="2771" w:firstLineChars="1150"/>
              <w:jc w:val="left"/>
              <w:rPr>
                <w:rFonts w:hint="eastAsia" w:ascii="仿宋_GB2312" w:hAnsi="仿宋_GB2312" w:eastAsia="仿宋_GB2312" w:cs="仿宋_GB2312"/>
                <w:b/>
                <w:bCs/>
                <w:color w:val="auto"/>
                <w:sz w:val="24"/>
                <w:szCs w:val="24"/>
                <w:shd w:val="clear" w:color="auto" w:fill="auto"/>
              </w:rPr>
            </w:pPr>
          </w:p>
        </w:tc>
        <w:tc>
          <w:tcPr>
            <w:tcW w:w="8175" w:type="dxa"/>
            <w:gridSpan w:val="10"/>
            <w:noWrap w:val="0"/>
            <w:vAlign w:val="top"/>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单位负责人意见：</w:t>
            </w:r>
          </w:p>
          <w:p>
            <w:pPr>
              <w:jc w:val="left"/>
              <w:rPr>
                <w:rFonts w:hint="eastAsia" w:ascii="仿宋_GB2312" w:hAnsi="仿宋_GB2312" w:eastAsia="仿宋_GB2312" w:cs="仿宋_GB2312"/>
                <w:color w:val="auto"/>
                <w:sz w:val="24"/>
                <w:szCs w:val="24"/>
              </w:rPr>
            </w:pPr>
          </w:p>
          <w:p>
            <w:pPr>
              <w:ind w:right="480"/>
              <w:rPr>
                <w:rFonts w:hint="eastAsia" w:ascii="仿宋_GB2312" w:hAnsi="仿宋_GB2312" w:eastAsia="仿宋_GB2312" w:cs="仿宋_GB2312"/>
                <w:color w:val="auto"/>
                <w:sz w:val="24"/>
                <w:szCs w:val="24"/>
                <w:lang w:eastAsia="zh-CN"/>
              </w:rPr>
            </w:pPr>
          </w:p>
          <w:p>
            <w:pPr>
              <w:rPr>
                <w:color w:val="auto"/>
              </w:rPr>
            </w:pPr>
          </w:p>
          <w:p>
            <w:pPr>
              <w:ind w:right="480"/>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是否需提交区局：是□</w:t>
            </w:r>
            <w:r>
              <w:rPr>
                <w:rFonts w:hint="eastAsia" w:ascii="仿宋_GB2312" w:hAnsi="仿宋_GB2312" w:eastAsia="仿宋_GB2312" w:cs="仿宋_GB2312"/>
                <w:color w:val="auto"/>
                <w:sz w:val="24"/>
                <w:szCs w:val="24"/>
                <w:lang w:val="en-US" w:eastAsia="zh-CN"/>
              </w:rPr>
              <w:t xml:space="preserve"> 否□</w:t>
            </w:r>
          </w:p>
          <w:p>
            <w:pPr>
              <w:ind w:right="48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75" w:type="dxa"/>
            <w:noWrap w:val="0"/>
            <w:vAlign w:val="top"/>
          </w:tcPr>
          <w:p>
            <w:pPr>
              <w:ind w:firstLine="2771" w:firstLineChars="1150"/>
              <w:jc w:val="center"/>
              <w:rPr>
                <w:rFonts w:hint="eastAsia" w:ascii="仿宋_GB2312" w:hAnsi="仿宋_GB2312" w:eastAsia="仿宋_GB2312" w:cs="仿宋_GB2312"/>
                <w:b/>
                <w:bCs/>
                <w:color w:val="auto"/>
                <w:sz w:val="24"/>
                <w:szCs w:val="24"/>
                <w:highlight w:val="none"/>
                <w:shd w:val="clear" w:color="auto" w:fill="auto"/>
              </w:rPr>
            </w:pPr>
            <w:r>
              <w:rPr>
                <w:rFonts w:hint="eastAsia" w:ascii="仿宋_GB2312" w:hAnsi="仿宋_GB2312" w:eastAsia="仿宋_GB2312" w:cs="仿宋_GB2312"/>
                <w:b/>
                <w:bCs/>
                <w:color w:val="auto"/>
                <w:sz w:val="24"/>
                <w:szCs w:val="24"/>
                <w:highlight w:val="none"/>
                <w:shd w:val="clear" w:color="auto" w:fill="auto"/>
              </w:rPr>
              <w:t>收</w:t>
            </w:r>
            <w:r>
              <w:rPr>
                <w:rFonts w:hint="eastAsia" w:ascii="仿宋_GB2312" w:hAnsi="仿宋_GB2312" w:eastAsia="仿宋_GB2312" w:cs="仿宋_GB2312"/>
                <w:b/>
                <w:bCs/>
                <w:color w:val="auto"/>
                <w:sz w:val="24"/>
                <w:szCs w:val="24"/>
                <w:highlight w:val="none"/>
                <w:shd w:val="clear" w:color="auto" w:fill="auto"/>
                <w:lang w:eastAsia="zh-CN"/>
              </w:rPr>
              <w:t>区局意见</w:t>
            </w:r>
          </w:p>
        </w:tc>
        <w:tc>
          <w:tcPr>
            <w:tcW w:w="8175" w:type="dxa"/>
            <w:gridSpan w:val="10"/>
            <w:noWrap w:val="0"/>
            <w:vAlign w:val="top"/>
          </w:tcPr>
          <w:p>
            <w:pPr>
              <w:ind w:right="480"/>
              <w:rPr>
                <w:rFonts w:hint="eastAsia" w:ascii="仿宋_GB2312" w:hAnsi="仿宋_GB2312" w:eastAsia="仿宋_GB2312" w:cs="仿宋_GB2312"/>
                <w:color w:val="auto"/>
                <w:sz w:val="24"/>
                <w:szCs w:val="24"/>
                <w:highlight w:val="none"/>
              </w:rPr>
            </w:pPr>
          </w:p>
          <w:p>
            <w:pPr>
              <w:ind w:right="480"/>
              <w:rPr>
                <w:rFonts w:hint="eastAsia" w:ascii="仿宋_GB2312" w:hAnsi="仿宋_GB2312" w:eastAsia="仿宋_GB2312" w:cs="仿宋_GB2312"/>
                <w:color w:val="auto"/>
                <w:sz w:val="24"/>
                <w:szCs w:val="24"/>
                <w:highlight w:val="none"/>
              </w:rPr>
            </w:pPr>
          </w:p>
          <w:p>
            <w:pPr>
              <w:ind w:right="480"/>
              <w:rPr>
                <w:rFonts w:hint="eastAsia" w:ascii="仿宋_GB2312" w:hAnsi="仿宋_GB2312" w:eastAsia="仿宋_GB2312" w:cs="仿宋_GB2312"/>
                <w:color w:val="auto"/>
                <w:sz w:val="24"/>
                <w:szCs w:val="24"/>
                <w:highlight w:val="none"/>
              </w:rPr>
            </w:pPr>
          </w:p>
          <w:p>
            <w:pPr>
              <w:ind w:right="480"/>
              <w:rPr>
                <w:rFonts w:hint="eastAsia" w:ascii="仿宋_GB2312" w:hAnsi="仿宋_GB2312" w:eastAsia="仿宋_GB2312" w:cs="仿宋_GB2312"/>
                <w:color w:val="auto"/>
                <w:sz w:val="24"/>
                <w:szCs w:val="24"/>
                <w:highlight w:val="none"/>
              </w:rPr>
            </w:pPr>
          </w:p>
          <w:p>
            <w:pPr>
              <w:ind w:right="48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签名（盖章）：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540B8"/>
    <w:rsid w:val="01AB1A66"/>
    <w:rsid w:val="064540B8"/>
    <w:rsid w:val="0F997F0A"/>
    <w:rsid w:val="1ABE0F22"/>
    <w:rsid w:val="27BA003C"/>
    <w:rsid w:val="53DE17EC"/>
    <w:rsid w:val="54CA75DB"/>
    <w:rsid w:val="58BF3150"/>
    <w:rsid w:val="723E3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佛山市税务局</Company>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2023-08-16T01:43:00Z</dcterms:created>
  <dc:creator>胡葳</dc:creator>
  <cp:lastModifiedBy>胡葳</cp:lastModifiedBy>
  <dcterms:modified xsi:type="dcterms:W3CDTF">2023-08-17T03:27:09Z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