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rPr>
        <w:t>国家税务总局</w:t>
      </w: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lang w:eastAsia="zh-CN"/>
        </w:rPr>
        <w:t>横琴粤澳深度合作区</w:t>
      </w: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rPr>
        <w:t>税务局</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rPr>
        <w:t>关于</w:t>
      </w:r>
      <w:r>
        <w:rPr>
          <w:rFonts w:hint="eastAsia" w:ascii="方正小标宋简体" w:hAnsi="方正小标宋简体" w:eastAsia="方正小标宋简体" w:cs="方正小标宋简体"/>
          <w:b w:val="0"/>
          <w:bCs w:val="0"/>
          <w:i w:val="0"/>
          <w:iCs w:val="0"/>
          <w:caps w:val="0"/>
          <w:color w:val="auto"/>
          <w:spacing w:val="0"/>
          <w:sz w:val="44"/>
          <w:szCs w:val="44"/>
          <w:highlight w:val="none"/>
          <w:shd w:val="clear" w:color="auto" w:fill="FFFFFF"/>
          <w:lang w:eastAsia="zh-CN"/>
        </w:rPr>
        <w:t>横琴粤澳深度合作区土地增值税预征事项的公告（征求意见稿）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center"/>
        <w:textAlignment w:val="auto"/>
        <w:rPr>
          <w:rFonts w:hint="eastAsia" w:ascii="仿宋_GB2312" w:hAnsi="仿宋_GB2312" w:eastAsia="仿宋_GB2312" w:cs="仿宋_GB2312"/>
          <w:i w:val="0"/>
          <w:iCs w:val="0"/>
          <w:caps w:val="0"/>
          <w:color w:val="auto"/>
          <w:spacing w:val="0"/>
          <w:sz w:val="28"/>
          <w:szCs w:val="28"/>
          <w:highlight w:val="none"/>
          <w:shd w:val="clear" w:color="auto" w:fill="FFFFFF"/>
        </w:rPr>
      </w:pPr>
      <w:r>
        <w:rPr>
          <w:rFonts w:hint="eastAsia" w:ascii="仿宋_GB2312" w:hAnsi="仿宋_GB2312" w:eastAsia="仿宋_GB2312" w:cs="仿宋_GB2312"/>
          <w:i w:val="0"/>
          <w:iCs w:val="0"/>
          <w:caps w:val="0"/>
          <w:color w:val="auto"/>
          <w:spacing w:val="0"/>
          <w:sz w:val="28"/>
          <w:szCs w:val="28"/>
          <w:highlight w:val="none"/>
          <w:shd w:val="clear" w:color="auto" w:fill="FFFFFF"/>
        </w:rPr>
        <w:t>国家税务总局横琴粤澳深度合作区税务局公告202</w:t>
      </w:r>
      <w:r>
        <w:rPr>
          <w:rFonts w:hint="eastAsia" w:ascii="仿宋_GB2312" w:hAnsi="仿宋_GB2312" w:eastAsia="仿宋_GB2312" w:cs="仿宋_GB2312"/>
          <w:i w:val="0"/>
          <w:iCs w:val="0"/>
          <w:caps w:val="0"/>
          <w:color w:val="auto"/>
          <w:spacing w:val="0"/>
          <w:sz w:val="28"/>
          <w:szCs w:val="28"/>
          <w:highlight w:val="none"/>
          <w:shd w:val="clear" w:color="auto" w:fill="FFFFFF"/>
          <w:lang w:val="en-US" w:eastAsia="zh-CN"/>
        </w:rPr>
        <w:t>3</w:t>
      </w:r>
      <w:r>
        <w:rPr>
          <w:rFonts w:hint="eastAsia" w:ascii="仿宋_GB2312" w:hAnsi="仿宋_GB2312" w:eastAsia="仿宋_GB2312" w:cs="仿宋_GB2312"/>
          <w:i w:val="0"/>
          <w:iCs w:val="0"/>
          <w:caps w:val="0"/>
          <w:color w:val="auto"/>
          <w:spacing w:val="0"/>
          <w:sz w:val="28"/>
          <w:szCs w:val="28"/>
          <w:highlight w:val="none"/>
          <w:shd w:val="clear" w:color="auto" w:fill="FFFFFF"/>
        </w:rPr>
        <w:t>年第</w:t>
      </w:r>
      <w:r>
        <w:rPr>
          <w:rFonts w:hint="eastAsia" w:ascii="仿宋_GB2312" w:hAnsi="仿宋_GB2312" w:eastAsia="仿宋_GB2312" w:cs="仿宋_GB2312"/>
          <w:i w:val="0"/>
          <w:iCs w:val="0"/>
          <w:caps w:val="0"/>
          <w:color w:val="auto"/>
          <w:spacing w:val="0"/>
          <w:sz w:val="28"/>
          <w:szCs w:val="28"/>
          <w:highlight w:val="none"/>
          <w:shd w:val="clear" w:color="auto" w:fill="FFFFFF"/>
          <w:lang w:val="en-US" w:eastAsia="zh-CN"/>
        </w:rPr>
        <w:t>X</w:t>
      </w:r>
      <w:r>
        <w:rPr>
          <w:rFonts w:hint="eastAsia" w:ascii="仿宋_GB2312" w:hAnsi="仿宋_GB2312" w:eastAsia="仿宋_GB2312" w:cs="仿宋_GB2312"/>
          <w:i w:val="0"/>
          <w:iCs w:val="0"/>
          <w:caps w:val="0"/>
          <w:color w:val="auto"/>
          <w:spacing w:val="0"/>
          <w:sz w:val="28"/>
          <w:szCs w:val="28"/>
          <w:highlight w:val="none"/>
          <w:shd w:val="clear" w:color="auto" w:fill="FFFFFF"/>
        </w:rPr>
        <w:t>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center"/>
        <w:textAlignment w:val="auto"/>
        <w:rPr>
          <w:rFonts w:hint="default" w:ascii="仿宋_GB2312" w:hAnsi="仿宋_GB2312" w:eastAsia="仿宋_GB2312" w:cs="仿宋_GB2312"/>
          <w:i w:val="0"/>
          <w:iCs w:val="0"/>
          <w:caps w:val="0"/>
          <w:color w:val="auto"/>
          <w:spacing w:val="0"/>
          <w:sz w:val="28"/>
          <w:szCs w:val="28"/>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为加强土地增值税征收管理，规范土地增值税预征工作，根据《国家税务总局关于加强土地增值税征管工作的通知》(国税发〔</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2010</w:t>
      </w:r>
      <w:r>
        <w:rPr>
          <w:rFonts w:hint="eastAsia" w:ascii="仿宋_GB2312" w:hAnsi="仿宋_GB2312" w:eastAsia="仿宋_GB2312" w:cs="仿宋_GB2312"/>
          <w:i w:val="0"/>
          <w:iCs w:val="0"/>
          <w:caps w:val="0"/>
          <w:color w:val="auto"/>
          <w:spacing w:val="0"/>
          <w:sz w:val="32"/>
          <w:szCs w:val="32"/>
          <w:highlight w:val="none"/>
          <w:shd w:val="clear" w:color="auto" w:fill="FFFFFF"/>
        </w:rPr>
        <w:t>〕53号)以及《转发国家税务总局关于加强土地增值税征管工作的通知》(粤地税发〔</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2010</w:t>
      </w:r>
      <w:r>
        <w:rPr>
          <w:rFonts w:hint="eastAsia" w:ascii="仿宋_GB2312" w:hAnsi="仿宋_GB2312" w:eastAsia="仿宋_GB2312" w:cs="仿宋_GB2312"/>
          <w:i w:val="0"/>
          <w:iCs w:val="0"/>
          <w:caps w:val="0"/>
          <w:color w:val="auto"/>
          <w:spacing w:val="0"/>
          <w:sz w:val="32"/>
          <w:szCs w:val="32"/>
          <w:highlight w:val="none"/>
          <w:shd w:val="clear" w:color="auto" w:fill="FFFFFF"/>
        </w:rPr>
        <w:t>〕105号)等</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有关</w:t>
      </w:r>
      <w:r>
        <w:rPr>
          <w:rFonts w:hint="eastAsia" w:ascii="仿宋_GB2312" w:hAnsi="仿宋_GB2312" w:eastAsia="仿宋_GB2312" w:cs="仿宋_GB2312"/>
          <w:i w:val="0"/>
          <w:iCs w:val="0"/>
          <w:caps w:val="0"/>
          <w:color w:val="auto"/>
          <w:spacing w:val="0"/>
          <w:sz w:val="32"/>
          <w:szCs w:val="32"/>
          <w:highlight w:val="none"/>
          <w:shd w:val="clear" w:color="auto" w:fill="FFFFFF"/>
        </w:rPr>
        <w:t>规定</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，现将</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横琴粤澳深度合作区（以下简称“合作区”）</w:t>
      </w:r>
      <w:r>
        <w:rPr>
          <w:rFonts w:hint="eastAsia" w:ascii="仿宋_GB2312" w:hAnsi="仿宋_GB2312" w:eastAsia="仿宋_GB2312" w:cs="仿宋_GB2312"/>
          <w:color w:val="auto"/>
          <w:sz w:val="32"/>
          <w:szCs w:val="32"/>
          <w:highlight w:val="none"/>
        </w:rPr>
        <w:t>土地增值税预征相关事项公告如下：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t xml:space="preserve">在合作区开发经营房地产的单位和个人，在房地产开发项目未进行土地增值税清算前取得销售收入的，为预征土地增值税的纳税人，应当依照本公告预征土地增值税。 </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eastAsia="zh-CN" w:bidi="ar-SA"/>
        </w:rPr>
        <w:t>对符合规定的廉租住房、公共租赁住房、经济适用住房（含解困房）以及面向澳门居民的保障性安居工程等保障性住房项目，暂不预征土地增值税，待其项目符合清算条件时按规定进行清算。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二、符合土地增值税预征规定的纳税人,应按项目，在首次取得房地产销售收入的次月15日内，向项目所在地主管税务机关报送预征率报备资料，办理土地增值税预征率报备手续。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三</w:t>
      </w:r>
      <w:r>
        <w:rPr>
          <w:rFonts w:hint="eastAsia" w:ascii="仿宋_GB2312" w:hAnsi="仿宋_GB2312" w:eastAsia="仿宋_GB2312" w:cs="仿宋_GB2312"/>
          <w:i w:val="0"/>
          <w:iCs w:val="0"/>
          <w:caps w:val="0"/>
          <w:color w:val="auto"/>
          <w:spacing w:val="0"/>
          <w:sz w:val="32"/>
          <w:szCs w:val="32"/>
          <w:highlight w:val="none"/>
          <w:shd w:val="clear" w:color="auto" w:fill="FFFFFF"/>
        </w:rPr>
        <w:t>、除保障性住房</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项目</w:t>
      </w:r>
      <w:r>
        <w:rPr>
          <w:rFonts w:hint="eastAsia" w:ascii="仿宋_GB2312" w:hAnsi="仿宋_GB2312" w:eastAsia="仿宋_GB2312" w:cs="仿宋_GB2312"/>
          <w:i w:val="0"/>
          <w:iCs w:val="0"/>
          <w:caps w:val="0"/>
          <w:color w:val="auto"/>
          <w:spacing w:val="0"/>
          <w:sz w:val="32"/>
          <w:szCs w:val="32"/>
          <w:highlight w:val="none"/>
          <w:shd w:val="clear" w:color="auto" w:fill="FFFFFF"/>
        </w:rPr>
        <w:t>外，合作区房地产开发项目的土地增值税预征率不低于2%。具体每个房地产开发项目的土地增值税预征率由税务机关结合项目的实际税负、房价变动等因素按年确定，确定方法及流程见附件。在税务机关首次确定预征率前，纳税人暂按报备的预征率预征，报备预征率低于2%的，</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暂</w:t>
      </w:r>
      <w:r>
        <w:rPr>
          <w:rFonts w:hint="eastAsia" w:ascii="仿宋_GB2312" w:hAnsi="仿宋_GB2312" w:eastAsia="仿宋_GB2312" w:cs="仿宋_GB2312"/>
          <w:i w:val="0"/>
          <w:iCs w:val="0"/>
          <w:caps w:val="0"/>
          <w:color w:val="auto"/>
          <w:spacing w:val="0"/>
          <w:sz w:val="32"/>
          <w:szCs w:val="32"/>
          <w:highlight w:val="none"/>
          <w:shd w:val="clear" w:color="auto" w:fill="FFFFFF"/>
        </w:rPr>
        <w:t>按2%进行预征。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四</w:t>
      </w:r>
      <w:r>
        <w:rPr>
          <w:rFonts w:hint="eastAsia" w:ascii="仿宋_GB2312" w:hAnsi="仿宋_GB2312" w:eastAsia="仿宋_GB2312" w:cs="仿宋_GB2312"/>
          <w:i w:val="0"/>
          <w:iCs w:val="0"/>
          <w:caps w:val="0"/>
          <w:color w:val="auto"/>
          <w:spacing w:val="0"/>
          <w:sz w:val="32"/>
          <w:szCs w:val="32"/>
          <w:highlight w:val="none"/>
          <w:shd w:val="clear" w:color="auto" w:fill="FFFFFF"/>
        </w:rPr>
        <w:t>、房地产开发企业采取预收款方法销售自行开发的房地产项目的，按照以下方法计算土地增值税预征计征依据：土地增值税预征的计税依据=预收款-应预缴增值税税款。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五、符合土地增值税预征规定的纳税人应按月申报预缴土地增值税，申报期为次月15日前。未按规定缴纳的，根据《中华人民共和国税收征收管理法》及其实施细则的有关规定，从限定的缴纳税款期限届满次日起，加收滞纳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本公告自</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发布之日</w:t>
      </w:r>
      <w:r>
        <w:rPr>
          <w:rFonts w:hint="eastAsia" w:ascii="仿宋_GB2312" w:hAnsi="仿宋_GB2312" w:eastAsia="仿宋_GB2312" w:cs="仿宋_GB2312"/>
          <w:i w:val="0"/>
          <w:iCs w:val="0"/>
          <w:caps w:val="0"/>
          <w:color w:val="auto"/>
          <w:spacing w:val="0"/>
          <w:sz w:val="32"/>
          <w:szCs w:val="32"/>
          <w:highlight w:val="none"/>
          <w:shd w:val="clear" w:color="auto" w:fill="FFFFFF"/>
        </w:rPr>
        <w:t>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特此公告。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附件：国家税务总局横琴粤澳深度合作区税务局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土地增值税预征率确定方法及流程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国家税务总局横琴粤澳深度合作区税务局</w:t>
      </w:r>
    </w:p>
    <w:p>
      <w:pPr>
        <w:spacing w:line="560" w:lineRule="exact"/>
        <w:ind w:firstLine="640" w:firstLineChars="200"/>
        <w:jc w:val="right"/>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202</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highlight w:val="none"/>
          <w:shd w:val="clear" w:color="auto" w:fill="FFFFFF"/>
        </w:rPr>
        <w:t>年</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XX</w:t>
      </w:r>
      <w:r>
        <w:rPr>
          <w:rFonts w:hint="eastAsia" w:ascii="仿宋_GB2312" w:hAnsi="仿宋_GB2312" w:eastAsia="仿宋_GB2312" w:cs="仿宋_GB2312"/>
          <w:i w:val="0"/>
          <w:iCs w:val="0"/>
          <w:caps w:val="0"/>
          <w:color w:val="auto"/>
          <w:spacing w:val="0"/>
          <w:sz w:val="32"/>
          <w:szCs w:val="32"/>
          <w:highlight w:val="none"/>
          <w:shd w:val="clear" w:color="auto" w:fill="FFFFFF"/>
        </w:rPr>
        <w:t>月</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XX</w:t>
      </w:r>
      <w:r>
        <w:rPr>
          <w:rFonts w:hint="eastAsia" w:ascii="仿宋_GB2312" w:hAnsi="仿宋_GB2312" w:eastAsia="仿宋_GB2312" w:cs="仿宋_GB2312"/>
          <w:i w:val="0"/>
          <w:iCs w:val="0"/>
          <w:caps w:val="0"/>
          <w:color w:val="auto"/>
          <w:spacing w:val="0"/>
          <w:sz w:val="32"/>
          <w:szCs w:val="32"/>
          <w:highlight w:val="none"/>
          <w:shd w:val="clear" w:color="auto" w:fill="FFFFFF"/>
        </w:rPr>
        <w:t>日</w:t>
      </w:r>
    </w:p>
    <w:p>
      <w:pPr>
        <w:spacing w:line="560" w:lineRule="exact"/>
        <w:ind w:firstLine="640" w:firstLineChars="200"/>
        <w:jc w:val="right"/>
        <w:rPr>
          <w:rFonts w:hint="eastAsia" w:ascii="仿宋_GB2312" w:hAnsi="仿宋_GB2312" w:eastAsia="仿宋_GB2312" w:cs="仿宋_GB2312"/>
          <w:i w:val="0"/>
          <w:iCs w:val="0"/>
          <w:caps w:val="0"/>
          <w:color w:val="auto"/>
          <w:spacing w:val="0"/>
          <w:sz w:val="32"/>
          <w:szCs w:val="32"/>
          <w:highlight w:val="none"/>
          <w:shd w:val="clear" w:color="auto" w:fill="FFFFFF"/>
        </w:rPr>
      </w:pPr>
    </w:p>
    <w:p>
      <w:pPr>
        <w:spacing w:line="560" w:lineRule="exact"/>
        <w:ind w:firstLine="640" w:firstLineChars="200"/>
        <w:jc w:val="right"/>
        <w:rPr>
          <w:rFonts w:hint="eastAsia" w:ascii="仿宋_GB2312" w:hAnsi="仿宋_GB2312" w:eastAsia="仿宋_GB2312" w:cs="仿宋_GB2312"/>
          <w:i w:val="0"/>
          <w:iCs w:val="0"/>
          <w:caps w:val="0"/>
          <w:color w:val="auto"/>
          <w:spacing w:val="0"/>
          <w:sz w:val="32"/>
          <w:szCs w:val="32"/>
          <w:highlight w:val="none"/>
          <w:shd w:val="clear" w:color="auto" w:fill="FFFFFF"/>
        </w:rPr>
      </w:pPr>
    </w:p>
    <w:p>
      <w:pPr>
        <w:spacing w:line="560" w:lineRule="exact"/>
        <w:ind w:firstLine="640" w:firstLineChars="200"/>
        <w:jc w:val="right"/>
        <w:rPr>
          <w:rFonts w:hint="eastAsia" w:ascii="仿宋_GB2312" w:hAnsi="仿宋_GB2312" w:eastAsia="仿宋_GB2312" w:cs="仿宋_GB2312"/>
          <w:i w:val="0"/>
          <w:iCs w:val="0"/>
          <w:caps w:val="0"/>
          <w:color w:val="auto"/>
          <w:spacing w:val="0"/>
          <w:sz w:val="32"/>
          <w:szCs w:val="32"/>
          <w:highlight w:val="none"/>
          <w:shd w:val="clear" w:color="auto" w:fill="FFFFFF"/>
        </w:rPr>
      </w:pPr>
    </w:p>
    <w:p>
      <w:pPr>
        <w:spacing w:line="560" w:lineRule="exact"/>
        <w:ind w:firstLine="0" w:firstLineChars="0"/>
        <w:jc w:val="both"/>
        <w:rPr>
          <w:rFonts w:hint="eastAsia" w:ascii="仿宋_GB2312" w:hAnsi="仿宋_GB2312" w:eastAsia="仿宋_GB2312" w:cs="仿宋_GB2312"/>
          <w:i w:val="0"/>
          <w:iCs w:val="0"/>
          <w:caps w:val="0"/>
          <w:color w:val="auto"/>
          <w:spacing w:val="0"/>
          <w:sz w:val="32"/>
          <w:szCs w:val="32"/>
          <w:highlight w:val="none"/>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b/>
          <w:bCs/>
          <w:i w:val="0"/>
          <w:iCs w:val="0"/>
          <w:caps w:val="0"/>
          <w:color w:val="auto"/>
          <w:spacing w:val="0"/>
          <w:sz w:val="32"/>
          <w:szCs w:val="32"/>
          <w:highlight w:val="none"/>
          <w:shd w:val="clear" w:color="auto" w:fill="FFFFFF"/>
        </w:rPr>
      </w:pPr>
      <w:r>
        <w:rPr>
          <w:rFonts w:hint="eastAsia" w:ascii="仿宋_GB2312" w:hAnsi="仿宋_GB2312" w:eastAsia="仿宋_GB2312" w:cs="仿宋_GB2312"/>
          <w:b/>
          <w:bCs/>
          <w:i w:val="0"/>
          <w:iCs w:val="0"/>
          <w:caps w:val="0"/>
          <w:color w:val="auto"/>
          <w:spacing w:val="0"/>
          <w:sz w:val="32"/>
          <w:szCs w:val="32"/>
          <w:highlight w:val="none"/>
          <w:shd w:val="clear" w:color="auto" w:fill="FFFFFF"/>
        </w:rPr>
        <w:t>国家税务总局横琴粤澳深度合作区税务局土地增值税预征率确定方法及流程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pPr>
    </w:p>
    <w:p>
      <w:pPr>
        <w:numPr>
          <w:ilvl w:val="-1"/>
          <w:numId w:val="0"/>
        </w:numPr>
        <w:spacing w:line="560" w:lineRule="exact"/>
        <w:ind w:firstLine="640" w:firstLineChars="200"/>
        <w:rPr>
          <w:rFonts w:hint="eastAsia" w:ascii="仿宋_GB2312" w:hAnsi="仿宋" w:eastAsia="仿宋_GB2312" w:cs="仿宋"/>
          <w:color w:val="auto"/>
          <w:spacing w:val="8"/>
          <w:kern w:val="0"/>
          <w:sz w:val="32"/>
          <w:szCs w:val="32"/>
          <w:highlight w:val="none"/>
          <w:lang w:eastAsia="zh-CN"/>
        </w:rPr>
      </w:pPr>
      <w:r>
        <w:rPr>
          <w:rFonts w:hint="eastAsia" w:ascii="仿宋" w:hAnsi="仿宋" w:eastAsia="仿宋" w:cs="仿宋"/>
          <w:color w:val="auto"/>
          <w:sz w:val="32"/>
          <w:szCs w:val="32"/>
          <w:highlight w:val="none"/>
          <w:lang w:eastAsia="zh-CN"/>
        </w:rPr>
        <w:t>一、合作区</w:t>
      </w:r>
      <w:r>
        <w:rPr>
          <w:rFonts w:hint="eastAsia" w:ascii="仿宋" w:hAnsi="仿宋" w:eastAsia="仿宋" w:cs="仿宋"/>
          <w:color w:val="auto"/>
          <w:sz w:val="32"/>
          <w:szCs w:val="32"/>
          <w:highlight w:val="none"/>
        </w:rPr>
        <w:t>房地产开发项目的土地增值税预征率(以下简称“预征率”)，以该房地产开发项目每平方米平均售价</w:t>
      </w:r>
      <w:r>
        <w:rPr>
          <w:rFonts w:hint="eastAsia" w:ascii="仿宋" w:hAnsi="仿宋" w:eastAsia="仿宋" w:cs="仿宋"/>
          <w:color w:val="auto"/>
          <w:sz w:val="32"/>
          <w:szCs w:val="32"/>
          <w:highlight w:val="none"/>
          <w:lang w:eastAsia="zh-CN"/>
        </w:rPr>
        <w:t>（不含税，下同）</w:t>
      </w:r>
      <w:r>
        <w:rPr>
          <w:rFonts w:hint="eastAsia" w:ascii="仿宋" w:hAnsi="仿宋" w:eastAsia="仿宋" w:cs="仿宋"/>
          <w:color w:val="auto"/>
          <w:sz w:val="32"/>
          <w:szCs w:val="32"/>
          <w:highlight w:val="none"/>
        </w:rPr>
        <w:t>和每平方米扣除项目金额为依据，计算每平方米增值额和增值率</w:t>
      </w:r>
      <w:r>
        <w:rPr>
          <w:rFonts w:hint="eastAsia" w:ascii="仿宋" w:hAnsi="仿宋" w:eastAsia="仿宋" w:cs="仿宋"/>
          <w:color w:val="auto"/>
          <w:sz w:val="32"/>
          <w:szCs w:val="32"/>
          <w:highlight w:val="none"/>
          <w:lang w:eastAsia="zh-CN"/>
        </w:rPr>
        <w:t>（增值额与扣除项目金额之比）</w:t>
      </w:r>
      <w:r>
        <w:rPr>
          <w:rFonts w:hint="eastAsia" w:ascii="仿宋" w:hAnsi="仿宋" w:eastAsia="仿宋" w:cs="仿宋"/>
          <w:color w:val="auto"/>
          <w:sz w:val="32"/>
          <w:szCs w:val="32"/>
          <w:highlight w:val="none"/>
        </w:rPr>
        <w:t>，按适用土地增值税税率计算</w:t>
      </w:r>
      <w:r>
        <w:rPr>
          <w:rFonts w:hint="eastAsia" w:ascii="仿宋_GB2312" w:hAnsi="仿宋" w:eastAsia="仿宋_GB2312" w:cs="仿宋"/>
          <w:color w:val="auto"/>
          <w:spacing w:val="8"/>
          <w:kern w:val="0"/>
          <w:sz w:val="32"/>
          <w:szCs w:val="32"/>
          <w:highlight w:val="none"/>
          <w:lang w:eastAsia="zh-CN"/>
        </w:rPr>
        <w:t>每平方米应纳税额</w:t>
      </w:r>
      <w:r>
        <w:rPr>
          <w:rFonts w:hint="eastAsia" w:ascii="仿宋" w:hAnsi="仿宋" w:eastAsia="仿宋" w:cs="仿宋"/>
          <w:color w:val="auto"/>
          <w:sz w:val="32"/>
          <w:szCs w:val="32"/>
          <w:highlight w:val="none"/>
        </w:rPr>
        <w:t>，以</w:t>
      </w:r>
      <w:r>
        <w:rPr>
          <w:rFonts w:hint="eastAsia" w:ascii="仿宋_GB2312" w:hAnsi="仿宋" w:eastAsia="仿宋_GB2312" w:cs="仿宋"/>
          <w:color w:val="auto"/>
          <w:spacing w:val="8"/>
          <w:kern w:val="0"/>
          <w:sz w:val="32"/>
          <w:szCs w:val="32"/>
          <w:highlight w:val="none"/>
          <w:lang w:eastAsia="zh-CN"/>
        </w:rPr>
        <w:t>每平方米应纳税额</w:t>
      </w:r>
      <w:r>
        <w:rPr>
          <w:rFonts w:hint="eastAsia" w:ascii="仿宋" w:hAnsi="仿宋" w:eastAsia="仿宋" w:cs="仿宋"/>
          <w:color w:val="auto"/>
          <w:sz w:val="32"/>
          <w:szCs w:val="32"/>
          <w:highlight w:val="none"/>
          <w:lang w:eastAsia="zh-CN"/>
        </w:rPr>
        <w:t>与</w:t>
      </w:r>
      <w:r>
        <w:rPr>
          <w:rFonts w:hint="eastAsia" w:ascii="仿宋_GB2312" w:hAnsi="仿宋" w:eastAsia="仿宋_GB2312" w:cs="仿宋"/>
          <w:color w:val="auto"/>
          <w:spacing w:val="8"/>
          <w:kern w:val="0"/>
          <w:sz w:val="32"/>
          <w:szCs w:val="32"/>
          <w:highlight w:val="none"/>
          <w:lang w:eastAsia="zh-CN"/>
        </w:rPr>
        <w:t>每平方米减免税额之差</w:t>
      </w:r>
      <w:r>
        <w:rPr>
          <w:rFonts w:hint="eastAsia" w:ascii="仿宋" w:hAnsi="仿宋" w:eastAsia="仿宋" w:cs="仿宋"/>
          <w:color w:val="auto"/>
          <w:sz w:val="32"/>
          <w:szCs w:val="32"/>
          <w:highlight w:val="none"/>
        </w:rPr>
        <w:t>占每平方米平均售价</w:t>
      </w:r>
      <w:r>
        <w:rPr>
          <w:rFonts w:hint="eastAsia" w:ascii="仿宋" w:hAnsi="仿宋" w:eastAsia="仿宋" w:cs="仿宋"/>
          <w:color w:val="auto"/>
          <w:sz w:val="32"/>
          <w:szCs w:val="32"/>
          <w:highlight w:val="none"/>
          <w:lang w:eastAsia="zh-CN"/>
        </w:rPr>
        <w:t>的百分比</w:t>
      </w:r>
      <w:r>
        <w:rPr>
          <w:rFonts w:hint="eastAsia" w:ascii="仿宋_GB2312" w:hAnsi="仿宋" w:eastAsia="仿宋_GB2312" w:cs="仿宋"/>
          <w:color w:val="auto"/>
          <w:spacing w:val="8"/>
          <w:kern w:val="0"/>
          <w:sz w:val="32"/>
          <w:szCs w:val="32"/>
          <w:highlight w:val="none"/>
          <w:lang w:eastAsia="zh-CN"/>
        </w:rPr>
        <w:t>确定预征率。属于</w:t>
      </w:r>
      <w:r>
        <w:rPr>
          <w:rFonts w:hint="eastAsia" w:ascii="仿宋_GB2312" w:hAnsi="宋体" w:eastAsia="仿宋_GB2312"/>
          <w:color w:val="auto"/>
          <w:sz w:val="32"/>
          <w:szCs w:val="32"/>
          <w:highlight w:val="none"/>
        </w:rPr>
        <w:t>税务机关按照</w:t>
      </w:r>
      <w:r>
        <w:rPr>
          <w:rFonts w:hint="eastAsia" w:ascii="仿宋_GB2312" w:hAnsi="宋体" w:eastAsia="仿宋_GB2312"/>
          <w:color w:val="auto"/>
          <w:sz w:val="32"/>
          <w:szCs w:val="32"/>
          <w:highlight w:val="none"/>
          <w:lang w:eastAsia="zh-CN"/>
        </w:rPr>
        <w:t>合作区</w:t>
      </w:r>
      <w:r>
        <w:rPr>
          <w:rFonts w:hint="eastAsia" w:ascii="仿宋_GB2312" w:hAnsi="宋体" w:eastAsia="仿宋_GB2312"/>
          <w:color w:val="auto"/>
          <w:sz w:val="32"/>
          <w:szCs w:val="32"/>
          <w:highlight w:val="none"/>
        </w:rPr>
        <w:t>已出具清算结论的房地产开发项目相关数据平均值</w:t>
      </w:r>
      <w:r>
        <w:rPr>
          <w:rFonts w:hint="eastAsia" w:ascii="仿宋_GB2312" w:hAnsi="宋体" w:eastAsia="仿宋_GB2312"/>
          <w:color w:val="auto"/>
          <w:sz w:val="32"/>
          <w:szCs w:val="32"/>
          <w:highlight w:val="none"/>
          <w:lang w:eastAsia="zh-CN"/>
        </w:rPr>
        <w:t>测定</w:t>
      </w:r>
      <w:r>
        <w:rPr>
          <w:rFonts w:hint="eastAsia" w:ascii="仿宋_GB2312" w:hAnsi="宋体" w:eastAsia="仿宋_GB2312"/>
          <w:color w:val="auto"/>
          <w:sz w:val="32"/>
          <w:szCs w:val="32"/>
          <w:highlight w:val="none"/>
        </w:rPr>
        <w:t>建筑安装工程费</w:t>
      </w:r>
      <w:r>
        <w:rPr>
          <w:rFonts w:hint="eastAsia" w:ascii="仿宋_GB2312" w:hAnsi="宋体" w:eastAsia="仿宋_GB2312"/>
          <w:color w:val="auto"/>
          <w:sz w:val="32"/>
          <w:szCs w:val="32"/>
          <w:highlight w:val="none"/>
          <w:lang w:eastAsia="zh-CN"/>
        </w:rPr>
        <w:t>情形的，按照以上方法计算的预征率</w:t>
      </w:r>
      <w:r>
        <w:rPr>
          <w:rFonts w:hint="eastAsia" w:ascii="仿宋_GB2312" w:hAnsi="仿宋" w:eastAsia="仿宋_GB2312" w:cs="仿宋"/>
          <w:color w:val="auto"/>
          <w:spacing w:val="8"/>
          <w:kern w:val="0"/>
          <w:sz w:val="32"/>
          <w:szCs w:val="32"/>
          <w:highlight w:val="none"/>
          <w:lang w:eastAsia="zh-CN"/>
        </w:rPr>
        <w:t>再乘以</w:t>
      </w:r>
      <w:r>
        <w:rPr>
          <w:rFonts w:hint="eastAsia" w:ascii="仿宋_GB2312" w:hAnsi="仿宋" w:eastAsia="仿宋_GB2312" w:cs="仿宋"/>
          <w:color w:val="auto"/>
          <w:spacing w:val="8"/>
          <w:kern w:val="0"/>
          <w:sz w:val="32"/>
          <w:szCs w:val="32"/>
          <w:highlight w:val="none"/>
          <w:lang w:val="en-US" w:eastAsia="zh-CN"/>
        </w:rPr>
        <w:t>80</w:t>
      </w:r>
      <w:r>
        <w:rPr>
          <w:rFonts w:hint="eastAsia" w:ascii="仿宋_GB2312" w:hAnsi="仿宋" w:eastAsia="仿宋_GB2312" w:cs="仿宋"/>
          <w:color w:val="auto"/>
          <w:spacing w:val="8"/>
          <w:kern w:val="0"/>
          <w:sz w:val="32"/>
          <w:szCs w:val="32"/>
          <w:highlight w:val="none"/>
          <w:lang w:eastAsia="zh-CN"/>
        </w:rPr>
        <w:t>%确定。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72"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 w:eastAsia="仿宋_GB2312" w:cs="仿宋"/>
          <w:color w:val="auto"/>
          <w:spacing w:val="8"/>
          <w:kern w:val="0"/>
          <w:sz w:val="32"/>
          <w:szCs w:val="32"/>
          <w:highlight w:val="none"/>
          <w:lang w:eastAsia="zh-CN"/>
        </w:rPr>
        <w:t>预征率统一以0.2%为间距，百分比在间距中的，从低确定预征率。</w:t>
      </w:r>
      <w:r>
        <w:rPr>
          <w:rFonts w:hint="eastAsia" w:ascii="仿宋_GB2312" w:hAnsi="仿宋_GB2312" w:eastAsia="仿宋_GB2312" w:cs="仿宋_GB2312"/>
          <w:i w:val="0"/>
          <w:iCs w:val="0"/>
          <w:caps w:val="0"/>
          <w:color w:val="auto"/>
          <w:spacing w:val="0"/>
          <w:sz w:val="32"/>
          <w:szCs w:val="32"/>
          <w:highlight w:val="none"/>
          <w:shd w:val="clear" w:color="auto" w:fill="FFFFFF"/>
        </w:rPr>
        <w:t>按上述方法确定的预征率，低于2%的按2%进行预征，高于10%的按10%进行预征。</w:t>
      </w:r>
    </w:p>
    <w:p>
      <w:pPr>
        <w:keepNext w:val="0"/>
        <w:keepLines w:val="0"/>
        <w:pageBreakBefore w:val="0"/>
        <w:widowControl/>
        <w:numPr>
          <w:ilvl w:val="-1"/>
          <w:numId w:val="0"/>
        </w:numPr>
        <w:shd w:val="clear" w:color="auto" w:fill="auto"/>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color="auto" w:fill="FFFFFF"/>
          <w:lang w:eastAsia="zh-CN"/>
        </w:rPr>
        <w:t>二、</w:t>
      </w:r>
      <w:r>
        <w:rPr>
          <w:rFonts w:hint="eastAsia" w:ascii="仿宋_GB2312" w:hAnsi="宋体" w:eastAsia="仿宋_GB2312"/>
          <w:color w:val="auto"/>
          <w:sz w:val="32"/>
          <w:szCs w:val="32"/>
          <w:highlight w:val="none"/>
          <w:lang w:val="en-US" w:eastAsia="zh-CN"/>
        </w:rPr>
        <w:t>每平方米平均售价=∑[各产品类别每平方米平均含税售价÷（1+适用税率或征收率）×各产品类别对应可售建筑面积]÷总可售建筑面积</w:t>
      </w:r>
    </w:p>
    <w:p>
      <w:pPr>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以上所称产品类别，是指功能、性质或价格存在明显不同的产品，例如普通住宅、非普通住宅、商铺、车位、办公用房等。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lang w:eastAsia="zh-CN"/>
        </w:rPr>
      </w:pPr>
      <w:r>
        <w:rPr>
          <w:rFonts w:hint="eastAsia" w:ascii="仿宋_GB2312" w:hAnsi="宋体" w:eastAsia="仿宋_GB2312"/>
          <w:b w:val="0"/>
          <w:bCs w:val="0"/>
          <w:color w:val="auto"/>
          <w:sz w:val="32"/>
          <w:szCs w:val="32"/>
          <w:highlight w:val="none"/>
          <w:lang w:val="en-US" w:eastAsia="zh-CN"/>
        </w:rPr>
        <w:t>三、每平方米扣除项目</w:t>
      </w:r>
      <w:r>
        <w:rPr>
          <w:rFonts w:hint="eastAsia" w:ascii="仿宋_GB2312" w:hAnsi="宋体" w:eastAsia="仿宋_GB2312"/>
          <w:b w:val="0"/>
          <w:bCs w:val="0"/>
          <w:color w:val="auto"/>
          <w:sz w:val="32"/>
          <w:szCs w:val="32"/>
          <w:highlight w:val="none"/>
          <w:lang w:eastAsia="zh-CN"/>
        </w:rPr>
        <w:t>金额</w:t>
      </w:r>
      <w:r>
        <w:rPr>
          <w:rFonts w:hint="eastAsia" w:ascii="仿宋" w:hAnsi="仿宋" w:eastAsia="仿宋" w:cs="仿宋"/>
          <w:color w:val="auto"/>
          <w:sz w:val="32"/>
          <w:szCs w:val="32"/>
          <w:highlight w:val="none"/>
        </w:rPr>
        <w:t>根据房地产开发项目的有关资料，</w:t>
      </w:r>
      <w:r>
        <w:rPr>
          <w:rFonts w:hint="eastAsia" w:ascii="仿宋_GB2312" w:hAnsi="宋体" w:eastAsia="仿宋_GB2312"/>
          <w:color w:val="auto"/>
          <w:sz w:val="32"/>
          <w:szCs w:val="32"/>
          <w:highlight w:val="none"/>
        </w:rPr>
        <w:t>归集各项成本费用</w:t>
      </w:r>
      <w:r>
        <w:rPr>
          <w:rFonts w:hint="eastAsia" w:ascii="仿宋_GB2312" w:hAnsi="宋体" w:eastAsia="仿宋_GB2312"/>
          <w:color w:val="auto"/>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rPr>
        <w:t>按可售建筑面积分摊计算</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rPr>
        <w:t>具体包括：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(一)取得土地使用权所支付的金额。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(二)房地产开发成本。包括土地征用及拆迁补偿费、前期工程费、建筑安装工程费、基础设施费、公共配套设施费、开发间接费用。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1.建筑安装工程费，已签订合同的，按合同金额或结算金额为依据计算</w:t>
      </w:r>
      <w:r>
        <w:rPr>
          <w:rFonts w:hint="eastAsia" w:ascii="仿宋_GB2312" w:hAnsi="宋体" w:eastAsia="仿宋_GB2312"/>
          <w:color w:val="auto"/>
          <w:sz w:val="32"/>
          <w:szCs w:val="32"/>
          <w:highlight w:val="none"/>
          <w:lang w:eastAsia="zh-CN"/>
        </w:rPr>
        <w:t>归集</w:t>
      </w:r>
      <w:r>
        <w:rPr>
          <w:rFonts w:hint="eastAsia" w:ascii="仿宋_GB2312" w:hAnsi="宋体" w:eastAsia="仿宋_GB2312"/>
          <w:color w:val="auto"/>
          <w:sz w:val="32"/>
          <w:szCs w:val="32"/>
          <w:highlight w:val="none"/>
        </w:rPr>
        <w:t>；未签订合同的，按预算金额为依据计算归集</w:t>
      </w:r>
      <w:r>
        <w:rPr>
          <w:rFonts w:hint="eastAsia" w:ascii="仿宋_GB2312" w:hAnsi="宋体" w:eastAsia="仿宋_GB2312"/>
          <w:color w:val="auto"/>
          <w:sz w:val="32"/>
          <w:szCs w:val="32"/>
          <w:highlight w:val="none"/>
          <w:lang w:eastAsia="zh-CN"/>
        </w:rPr>
        <w:t>。按照以上方法未能反映项目实际情况，或报送的</w:t>
      </w:r>
      <w:r>
        <w:rPr>
          <w:rFonts w:hint="eastAsia" w:ascii="仿宋_GB2312" w:hAnsi="宋体" w:eastAsia="仿宋_GB2312"/>
          <w:color w:val="auto"/>
          <w:sz w:val="32"/>
          <w:szCs w:val="32"/>
          <w:highlight w:val="none"/>
        </w:rPr>
        <w:t>预算金额</w:t>
      </w:r>
      <w:r>
        <w:rPr>
          <w:rFonts w:hint="eastAsia" w:ascii="仿宋_GB2312" w:hAnsi="宋体" w:eastAsia="仿宋_GB2312"/>
          <w:color w:val="auto"/>
          <w:sz w:val="32"/>
          <w:szCs w:val="32"/>
          <w:highlight w:val="none"/>
          <w:lang w:eastAsia="zh-CN"/>
        </w:rPr>
        <w:t>明显偏高且无合理理由的，</w:t>
      </w:r>
      <w:r>
        <w:rPr>
          <w:rFonts w:hint="eastAsia" w:ascii="仿宋_GB2312" w:hAnsi="宋体" w:eastAsia="仿宋_GB2312"/>
          <w:color w:val="auto"/>
          <w:sz w:val="32"/>
          <w:szCs w:val="32"/>
          <w:highlight w:val="none"/>
        </w:rPr>
        <w:t>税务机关</w:t>
      </w:r>
      <w:r>
        <w:rPr>
          <w:rFonts w:hint="eastAsia" w:ascii="仿宋_GB2312" w:hAnsi="宋体" w:eastAsia="仿宋_GB2312"/>
          <w:color w:val="auto"/>
          <w:sz w:val="32"/>
          <w:szCs w:val="32"/>
          <w:highlight w:val="none"/>
          <w:lang w:eastAsia="zh-CN"/>
        </w:rPr>
        <w:t>可</w:t>
      </w:r>
      <w:r>
        <w:rPr>
          <w:rFonts w:hint="eastAsia" w:ascii="仿宋_GB2312" w:hAnsi="宋体" w:eastAsia="仿宋_GB2312"/>
          <w:color w:val="auto"/>
          <w:sz w:val="32"/>
          <w:szCs w:val="32"/>
          <w:highlight w:val="none"/>
        </w:rPr>
        <w:t>按照</w:t>
      </w:r>
      <w:r>
        <w:rPr>
          <w:rFonts w:hint="eastAsia" w:ascii="仿宋_GB2312" w:hAnsi="宋体" w:eastAsia="仿宋_GB2312"/>
          <w:color w:val="auto"/>
          <w:sz w:val="32"/>
          <w:szCs w:val="32"/>
          <w:highlight w:val="none"/>
          <w:lang w:eastAsia="zh-CN"/>
        </w:rPr>
        <w:t>合作区近五年</w:t>
      </w:r>
      <w:r>
        <w:rPr>
          <w:rFonts w:hint="eastAsia" w:ascii="仿宋_GB2312" w:hAnsi="宋体" w:eastAsia="仿宋_GB2312"/>
          <w:color w:val="auto"/>
          <w:sz w:val="32"/>
          <w:szCs w:val="32"/>
          <w:highlight w:val="none"/>
        </w:rPr>
        <w:t>已出具清算结论的房地产开发项目相关数据平均值</w:t>
      </w:r>
      <w:r>
        <w:rPr>
          <w:rFonts w:hint="eastAsia" w:ascii="仿宋_GB2312" w:hAnsi="宋体" w:eastAsia="仿宋_GB2312"/>
          <w:color w:val="auto"/>
          <w:sz w:val="32"/>
          <w:szCs w:val="32"/>
          <w:highlight w:val="none"/>
          <w:lang w:eastAsia="zh-CN"/>
        </w:rPr>
        <w:t>测定</w:t>
      </w:r>
      <w:r>
        <w:rPr>
          <w:rFonts w:hint="eastAsia" w:ascii="仿宋_GB2312" w:hAnsi="宋体" w:eastAsia="仿宋_GB2312"/>
          <w:color w:val="auto"/>
          <w:sz w:val="32"/>
          <w:szCs w:val="32"/>
          <w:highlight w:val="none"/>
        </w:rPr>
        <w:t>建筑安装工程费。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w:t>
      </w:r>
      <w:r>
        <w:rPr>
          <w:rFonts w:hint="eastAsia" w:ascii="仿宋" w:hAnsi="仿宋" w:eastAsia="仿宋" w:cs="仿宋"/>
          <w:color w:val="auto"/>
          <w:sz w:val="32"/>
          <w:szCs w:val="32"/>
          <w:highlight w:val="none"/>
        </w:rPr>
        <w:t>拆迁补偿费</w:t>
      </w:r>
      <w:r>
        <w:rPr>
          <w:rFonts w:hint="eastAsia" w:ascii="仿宋" w:hAnsi="仿宋" w:eastAsia="仿宋" w:cs="仿宋"/>
          <w:color w:val="auto"/>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rPr>
        <w:t>前期工程费、基础设施费、公共配套设施费、开发间接费用，由税务机关根据计算</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测</w:t>
      </w:r>
      <w:r>
        <w:rPr>
          <w:rFonts w:hint="eastAsia" w:ascii="仿宋_GB2312" w:hAnsi="仿宋_GB2312" w:eastAsia="仿宋_GB2312" w:cs="仿宋_GB2312"/>
          <w:i w:val="0"/>
          <w:iCs w:val="0"/>
          <w:caps w:val="0"/>
          <w:color w:val="auto"/>
          <w:spacing w:val="0"/>
          <w:sz w:val="32"/>
          <w:szCs w:val="32"/>
          <w:highlight w:val="none"/>
          <w:shd w:val="clear" w:color="auto" w:fill="FFFFFF"/>
        </w:rPr>
        <w:t>定的建筑安装工程费扣除比例确定;扣除比例按照</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合作区</w:t>
      </w:r>
      <w:r>
        <w:rPr>
          <w:rFonts w:hint="eastAsia" w:ascii="仿宋_GB2312" w:hAnsi="宋体" w:eastAsia="仿宋_GB2312"/>
          <w:color w:val="auto"/>
          <w:sz w:val="32"/>
          <w:szCs w:val="32"/>
          <w:highlight w:val="none"/>
          <w:lang w:eastAsia="zh-CN"/>
        </w:rPr>
        <w:t>近五年</w:t>
      </w:r>
      <w:r>
        <w:rPr>
          <w:rFonts w:hint="eastAsia" w:ascii="仿宋_GB2312" w:hAnsi="仿宋_GB2312" w:eastAsia="仿宋_GB2312" w:cs="仿宋_GB2312"/>
          <w:i w:val="0"/>
          <w:iCs w:val="0"/>
          <w:caps w:val="0"/>
          <w:color w:val="auto"/>
          <w:spacing w:val="0"/>
          <w:sz w:val="32"/>
          <w:szCs w:val="32"/>
          <w:highlight w:val="none"/>
          <w:shd w:val="clear" w:color="auto" w:fill="FFFFFF"/>
        </w:rPr>
        <w:t>已出具清算结论的房地产开发项目相关数据平均值测定。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宋体" w:eastAsia="仿宋_GB2312"/>
          <w:color w:val="auto"/>
          <w:sz w:val="32"/>
          <w:szCs w:val="32"/>
          <w:highlight w:val="none"/>
          <w:lang w:eastAsia="zh-CN"/>
        </w:rPr>
        <w:t>纳税人认为税务机关</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测</w:t>
      </w:r>
      <w:r>
        <w:rPr>
          <w:rFonts w:hint="eastAsia" w:ascii="仿宋_GB2312" w:hAnsi="仿宋_GB2312" w:eastAsia="仿宋_GB2312" w:cs="仿宋_GB2312"/>
          <w:i w:val="0"/>
          <w:iCs w:val="0"/>
          <w:caps w:val="0"/>
          <w:color w:val="auto"/>
          <w:spacing w:val="0"/>
          <w:sz w:val="32"/>
          <w:szCs w:val="32"/>
          <w:highlight w:val="none"/>
          <w:shd w:val="clear" w:color="auto" w:fill="FFFFFF"/>
        </w:rPr>
        <w:t>定的建筑安装工程费扣除比例</w:t>
      </w:r>
      <w:r>
        <w:rPr>
          <w:rFonts w:hint="eastAsia" w:ascii="仿宋_GB2312" w:hAnsi="宋体" w:eastAsia="仿宋_GB2312"/>
          <w:color w:val="auto"/>
          <w:sz w:val="32"/>
          <w:szCs w:val="32"/>
          <w:highlight w:val="none"/>
          <w:lang w:eastAsia="zh-CN"/>
        </w:rPr>
        <w:t>系数未能反映项目实际情况的，可按合同金额、结算金额或预算金额计算归集报备金额，并提供相关佐证材料，经税务机关确认后按报备金额归集。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(三)房地产开发费用，按取得土地使用权所支付的金额和房地产开发成本之和的10%计算扣除。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(四)财政部规定的其他扣除，按取得土地使用权所支付的金额和房地产开发成本之和的20%计算扣除。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仿宋_GB2312" w:hAnsi="仿宋_GB2312" w:eastAsia="仿宋_GB2312" w:cs="仿宋_GB2312"/>
          <w:i w:val="0"/>
          <w:iCs w:val="0"/>
          <w:caps w:val="0"/>
          <w:color w:val="auto"/>
          <w:spacing w:val="0"/>
          <w:sz w:val="32"/>
          <w:szCs w:val="32"/>
          <w:highlight w:val="none"/>
          <w:shd w:val="clear" w:color="auto" w:fill="FFFFFF"/>
        </w:rPr>
        <w:t>(五)与转让房地产有关的税金</w:t>
      </w:r>
      <w:r>
        <w:rPr>
          <w:rFonts w:hint="eastAsia" w:ascii="仿宋_GB2312" w:hAnsi="仿宋_GB2312" w:eastAsia="仿宋_GB2312" w:cs="仿宋_GB2312"/>
          <w:color w:val="auto"/>
          <w:sz w:val="32"/>
          <w:szCs w:val="32"/>
          <w:highlight w:val="none"/>
          <w:shd w:val="clear" w:color="auto" w:fill="FFFFFF"/>
          <w:lang w:eastAsia="zh-CN"/>
        </w:rPr>
        <w:t>。</w:t>
      </w:r>
    </w:p>
    <w:p>
      <w:pPr>
        <w:pStyle w:val="6"/>
        <w:widowControl/>
        <w:numPr>
          <w:ilvl w:val="-1"/>
          <w:numId w:val="0"/>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leftChars="0" w:firstLine="640" w:firstLineChars="200"/>
        <w:rPr>
          <w:rFonts w:hint="eastAsia" w:ascii="仿宋_GB2312" w:hAnsi="仿宋_GB2312" w:eastAsia="仿宋_GB2312" w:cs="仿宋_GB2312"/>
          <w:b w:val="0"/>
          <w:bCs w:val="0"/>
          <w:color w:val="auto"/>
          <w:spacing w:val="0"/>
          <w:kern w:val="0"/>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shd w:val="clear" w:color="auto" w:fill="FFFFFF"/>
          <w:lang w:eastAsia="zh-CN"/>
        </w:rPr>
        <w:t>四、普通住宅</w:t>
      </w:r>
      <w:r>
        <w:rPr>
          <w:rFonts w:hint="eastAsia" w:ascii="仿宋_GB2312" w:hAnsi="仿宋" w:eastAsia="仿宋_GB2312" w:cs="仿宋"/>
          <w:color w:val="auto"/>
          <w:spacing w:val="8"/>
          <w:kern w:val="0"/>
          <w:sz w:val="32"/>
          <w:szCs w:val="32"/>
          <w:highlight w:val="none"/>
          <w:lang w:eastAsia="zh-CN"/>
        </w:rPr>
        <w:t>增值率大于零且未超过</w:t>
      </w:r>
      <w:r>
        <w:rPr>
          <w:rFonts w:hint="eastAsia" w:ascii="仿宋_GB2312" w:hAnsi="仿宋" w:eastAsia="仿宋_GB2312" w:cs="仿宋"/>
          <w:color w:val="auto"/>
          <w:spacing w:val="8"/>
          <w:kern w:val="0"/>
          <w:sz w:val="32"/>
          <w:szCs w:val="32"/>
          <w:highlight w:val="none"/>
          <w:lang w:val="en-US" w:eastAsia="zh-CN"/>
        </w:rPr>
        <w:t>20%的，按普通住宅应税收入占总应税收入的比例计算每平方米</w:t>
      </w:r>
      <w:r>
        <w:rPr>
          <w:rFonts w:hint="eastAsia" w:ascii="仿宋_GB2312" w:hAnsi="仿宋" w:eastAsia="仿宋_GB2312" w:cs="仿宋"/>
          <w:color w:val="auto"/>
          <w:spacing w:val="8"/>
          <w:kern w:val="0"/>
          <w:sz w:val="32"/>
          <w:szCs w:val="32"/>
          <w:highlight w:val="none"/>
          <w:lang w:eastAsia="zh-CN"/>
        </w:rPr>
        <w:t>减免税额。</w:t>
      </w:r>
      <w:r>
        <w:rPr>
          <w:rFonts w:hint="eastAsia" w:ascii="仿宋_GB2312" w:hAnsi="仿宋" w:eastAsia="仿宋_GB2312" w:cs="仿宋"/>
          <w:color w:val="auto"/>
          <w:spacing w:val="8"/>
          <w:kern w:val="0"/>
          <w:sz w:val="32"/>
          <w:szCs w:val="32"/>
          <w:highlight w:val="none"/>
          <w:lang w:val="en-US" w:eastAsia="zh-CN"/>
        </w:rPr>
        <w:t>每平方米</w:t>
      </w:r>
      <w:r>
        <w:rPr>
          <w:rFonts w:hint="eastAsia" w:ascii="仿宋_GB2312" w:hAnsi="仿宋" w:eastAsia="仿宋_GB2312" w:cs="仿宋"/>
          <w:color w:val="auto"/>
          <w:spacing w:val="8"/>
          <w:kern w:val="0"/>
          <w:sz w:val="32"/>
          <w:szCs w:val="32"/>
          <w:highlight w:val="none"/>
          <w:lang w:eastAsia="zh-CN"/>
        </w:rPr>
        <w:t>减免税额</w:t>
      </w:r>
      <w:r>
        <w:rPr>
          <w:rFonts w:hint="eastAsia" w:ascii="仿宋_GB2312" w:hAnsi="仿宋" w:eastAsia="仿宋_GB2312" w:cs="仿宋"/>
          <w:color w:val="auto"/>
          <w:spacing w:val="8"/>
          <w:kern w:val="0"/>
          <w:sz w:val="32"/>
          <w:szCs w:val="32"/>
          <w:highlight w:val="none"/>
          <w:lang w:val="en-US" w:eastAsia="zh-CN"/>
        </w:rPr>
        <w:t>=</w:t>
      </w:r>
      <w:r>
        <w:rPr>
          <w:rFonts w:hint="eastAsia" w:ascii="仿宋_GB2312" w:hAnsi="仿宋" w:eastAsia="仿宋_GB2312" w:cs="仿宋"/>
          <w:color w:val="auto"/>
          <w:spacing w:val="8"/>
          <w:kern w:val="0"/>
          <w:sz w:val="32"/>
          <w:szCs w:val="32"/>
          <w:highlight w:val="none"/>
          <w:lang w:eastAsia="zh-CN"/>
        </w:rPr>
        <w:t>每平方米应纳税额</w:t>
      </w:r>
      <w:r>
        <w:rPr>
          <w:rFonts w:hint="eastAsia" w:ascii="仿宋_GB2312" w:hAnsi="仿宋" w:eastAsia="仿宋_GB2312" w:cs="仿宋"/>
          <w:color w:val="auto"/>
          <w:spacing w:val="8"/>
          <w:kern w:val="0"/>
          <w:sz w:val="32"/>
          <w:szCs w:val="32"/>
          <w:highlight w:val="none"/>
          <w:lang w:val="en-US" w:eastAsia="zh-CN"/>
        </w:rPr>
        <w:t>×</w:t>
      </w:r>
      <w:r>
        <w:rPr>
          <w:rFonts w:hint="eastAsia" w:ascii="仿宋_GB2312" w:hAnsi="宋体" w:eastAsia="仿宋_GB2312"/>
          <w:color w:val="auto"/>
          <w:sz w:val="32"/>
          <w:szCs w:val="32"/>
          <w:highlight w:val="none"/>
          <w:lang w:val="en-US" w:eastAsia="zh-CN"/>
        </w:rPr>
        <w:t>（</w:t>
      </w:r>
      <w:r>
        <w:rPr>
          <w:rFonts w:hint="eastAsia" w:ascii="仿宋_GB2312" w:hAnsi="宋体" w:eastAsia="仿宋_GB2312"/>
          <w:color w:val="auto"/>
          <w:sz w:val="32"/>
          <w:szCs w:val="32"/>
          <w:highlight w:val="none"/>
        </w:rPr>
        <w:t>普通住宅</w:t>
      </w:r>
      <w:r>
        <w:rPr>
          <w:rFonts w:hint="eastAsia" w:ascii="仿宋_GB2312" w:hAnsi="宋体" w:eastAsia="仿宋_GB2312"/>
          <w:color w:val="auto"/>
          <w:sz w:val="32"/>
          <w:szCs w:val="32"/>
          <w:highlight w:val="none"/>
          <w:lang w:val="en-US" w:eastAsia="zh-CN"/>
        </w:rPr>
        <w:t>每</w:t>
      </w:r>
      <w:r>
        <w:rPr>
          <w:rFonts w:hint="eastAsia" w:ascii="仿宋_GB2312" w:hAnsi="仿宋_GB2312" w:eastAsia="仿宋_GB2312" w:cs="仿宋_GB2312"/>
          <w:color w:val="auto"/>
          <w:sz w:val="32"/>
          <w:szCs w:val="32"/>
          <w:highlight w:val="none"/>
          <w:shd w:val="clear" w:color="auto" w:fill="FFFFFF"/>
          <w:lang w:val="en-US" w:eastAsia="zh-CN"/>
        </w:rPr>
        <w:t>平方米平均售价×普通住宅可售建筑面积）÷（每平方米平均售价×总可售建筑面积）</w:t>
      </w:r>
      <w:r>
        <w:rPr>
          <w:rFonts w:hint="eastAsia" w:ascii="仿宋_GB2312" w:hAnsi="仿宋_GB2312" w:eastAsia="仿宋_GB2312" w:cs="仿宋_GB2312"/>
          <w:color w:val="auto"/>
          <w:sz w:val="32"/>
          <w:szCs w:val="32"/>
          <w:highlight w:val="none"/>
          <w:shd w:val="clear" w:color="auto"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color w:val="auto"/>
          <w:spacing w:val="0"/>
          <w:kern w:val="0"/>
          <w:sz w:val="32"/>
          <w:szCs w:val="32"/>
          <w:highlight w:val="none"/>
          <w:shd w:val="clear" w:color="auto" w:fill="FFFFFF"/>
          <w:lang w:eastAsia="zh-CN"/>
        </w:rPr>
        <w:t>五、</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预征率确定流程：纳税人应报送房地产开发项目的规划、设计、报建</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、销售</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等资料，填报工程量、可售建筑面积、取得土地使用权所支付的金额及销售价格等项目预征率备案信息。主管税务机关受理预征率报备资料后，在15个工作日确定预征率，向纳税人依法送达《税务事项通知书》。主管税务机关因特殊原因无法按期完成的，经税务机关分管局领导批准，可延期10个工作日。</w:t>
      </w:r>
    </w:p>
    <w:p>
      <w:pPr>
        <w:widowControl w:val="0"/>
        <w:numPr>
          <w:ilvl w:val="-1"/>
          <w:numId w:val="0"/>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0" w:lineRule="exact"/>
        <w:ind w:leftChars="0" w:firstLine="640" w:firstLineChars="200"/>
        <w:jc w:val="left"/>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纳税人对税务机关审核确定的预征率有异议的，应在规定期限内提供佐证材料，经税务机关确认的，予以调整。</w:t>
      </w:r>
    </w:p>
    <w:p>
      <w:pPr>
        <w:pStyle w:val="6"/>
        <w:widowControl/>
        <w:numPr>
          <w:ilvl w:val="-1"/>
          <w:numId w:val="0"/>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Chars="0" w:firstLine="640" w:firstLineChars="200"/>
        <w:jc w:val="left"/>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六、纳税人未按照规定的期限报送项目预征率报备资料的，主管税务机关暂按10%预征率确定。</w:t>
      </w:r>
    </w:p>
    <w:p>
      <w:pPr>
        <w:pStyle w:val="6"/>
        <w:widowControl/>
        <w:numPr>
          <w:ilvl w:val="-1"/>
          <w:numId w:val="0"/>
        </w:numPr>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Chars="0" w:firstLine="640" w:firstLineChars="200"/>
        <w:jc w:val="left"/>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七、</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rPr>
        <w:t>预征率实行动态调整机制</w:t>
      </w:r>
      <w:r>
        <w:rPr>
          <w:rFonts w:hint="eastAsia" w:ascii="仿宋_GB2312" w:hAnsi="仿宋_GB2312" w:eastAsia="仿宋_GB2312" w:cs="仿宋_GB2312"/>
          <w:b w:val="0"/>
          <w:bCs w:val="0"/>
          <w:i w:val="0"/>
          <w:iCs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rPr>
        <w:t>纳税人应在每自然年度终了后的</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highlight w:val="none"/>
          <w:shd w:val="clear" w:color="auto" w:fill="FFFFFF"/>
        </w:rPr>
        <w:t>个月内向</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主管</w:t>
      </w:r>
      <w:r>
        <w:rPr>
          <w:rFonts w:hint="eastAsia" w:ascii="仿宋_GB2312" w:hAnsi="仿宋_GB2312" w:eastAsia="仿宋_GB2312" w:cs="仿宋_GB2312"/>
          <w:i w:val="0"/>
          <w:iCs w:val="0"/>
          <w:caps w:val="0"/>
          <w:color w:val="auto"/>
          <w:spacing w:val="0"/>
          <w:sz w:val="32"/>
          <w:szCs w:val="32"/>
          <w:highlight w:val="none"/>
          <w:shd w:val="clear" w:color="auto" w:fill="FFFFFF"/>
        </w:rPr>
        <w:t>税务机关报送房地产开发项目每平方米平均售价的变动情况</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，经税务机关评估预征率浮动超过</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0.2%的，</w:t>
      </w:r>
      <w:r>
        <w:rPr>
          <w:rFonts w:hint="eastAsia" w:ascii="仿宋_GB2312" w:hAnsi="仿宋_GB2312" w:eastAsia="仿宋_GB2312" w:cs="仿宋_GB2312"/>
          <w:i w:val="0"/>
          <w:iCs w:val="0"/>
          <w:caps w:val="0"/>
          <w:color w:val="auto"/>
          <w:spacing w:val="0"/>
          <w:sz w:val="32"/>
          <w:szCs w:val="32"/>
          <w:highlight w:val="none"/>
        </w:rPr>
        <w:t>重新调整预征率。</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049FBE"/>
    <w:multiLevelType w:val="singleLevel"/>
    <w:tmpl w:val="44049F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MTJlNjA0ZGU1NjMzNGE4MGQwMmYzMjIxZWVkMDcifQ=="/>
  </w:docVars>
  <w:rsids>
    <w:rsidRoot w:val="00000000"/>
    <w:rsid w:val="02B07116"/>
    <w:rsid w:val="030F4FD3"/>
    <w:rsid w:val="057E4173"/>
    <w:rsid w:val="0BDF66B6"/>
    <w:rsid w:val="0E625884"/>
    <w:rsid w:val="0F184367"/>
    <w:rsid w:val="0F7A3474"/>
    <w:rsid w:val="167035C2"/>
    <w:rsid w:val="18C16A6E"/>
    <w:rsid w:val="19924442"/>
    <w:rsid w:val="1C636D41"/>
    <w:rsid w:val="1E8F1A7E"/>
    <w:rsid w:val="1EFA04F5"/>
    <w:rsid w:val="20C203FC"/>
    <w:rsid w:val="24926D63"/>
    <w:rsid w:val="25CA730D"/>
    <w:rsid w:val="264C5039"/>
    <w:rsid w:val="27477B93"/>
    <w:rsid w:val="2900462A"/>
    <w:rsid w:val="2AEA02E2"/>
    <w:rsid w:val="2B440FBA"/>
    <w:rsid w:val="2B554621"/>
    <w:rsid w:val="2C990EEA"/>
    <w:rsid w:val="2D661CF6"/>
    <w:rsid w:val="336634EA"/>
    <w:rsid w:val="33BF4FE4"/>
    <w:rsid w:val="360A35C3"/>
    <w:rsid w:val="364B43E9"/>
    <w:rsid w:val="396B346B"/>
    <w:rsid w:val="3C8D1746"/>
    <w:rsid w:val="410C6F7E"/>
    <w:rsid w:val="419B4498"/>
    <w:rsid w:val="41CA6D80"/>
    <w:rsid w:val="444733EE"/>
    <w:rsid w:val="4B662AB9"/>
    <w:rsid w:val="502C1CAE"/>
    <w:rsid w:val="52395865"/>
    <w:rsid w:val="585E44E1"/>
    <w:rsid w:val="598F7DBE"/>
    <w:rsid w:val="599553FA"/>
    <w:rsid w:val="5E7A784C"/>
    <w:rsid w:val="5EB07D12"/>
    <w:rsid w:val="612A5EA2"/>
    <w:rsid w:val="62E37EEA"/>
    <w:rsid w:val="663A1095"/>
    <w:rsid w:val="6ADF6BDF"/>
    <w:rsid w:val="6B293A04"/>
    <w:rsid w:val="732817A4"/>
    <w:rsid w:val="77D22424"/>
    <w:rsid w:val="783E33BE"/>
    <w:rsid w:val="78C107F4"/>
    <w:rsid w:val="7A8B0FEB"/>
    <w:rsid w:val="7C4422A7"/>
    <w:rsid w:val="7DBA3DAB"/>
    <w:rsid w:val="7E3163C9"/>
    <w:rsid w:val="7E7C3464"/>
    <w:rsid w:val="7FC3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2192</Words>
  <Characters>2240</Characters>
  <Lines>0</Lines>
  <Paragraphs>0</Paragraphs>
  <TotalTime>47</TotalTime>
  <ScaleCrop>false</ScaleCrop>
  <LinksUpToDate>false</LinksUpToDate>
  <CharactersWithSpaces>2241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2023-08-09T05:00:00Z</dcterms:created>
  <dc:creator>Administrator</dc:creator>
  <cp:lastModifiedBy>牛广东</cp:lastModifiedBy>
  <cp:lastPrinted>2023-09-21T01:21:00Z</cp:lastPrinted>
  <dcterms:modified xsi:type="dcterms:W3CDTF">2023-09-26T03:51:01Z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255DDA25C7124AB19C93A712ABA35563_12</vt:lpwstr>
  </property>
</Properties>
</file>