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0" w:firstLineChars="0"/>
        <w:rPr>
          <w:rFonts w:ascii="黑体" w:hAnsi="黑体" w:eastAsia="黑体" w:cs="黑体"/>
          <w:sz w:val="32"/>
        </w:rPr>
      </w:pPr>
      <w:r>
        <w:rPr>
          <w:rFonts w:hint="eastAsia" w:ascii="黑体" w:hAnsi="黑体" w:eastAsia="黑体" w:cs="黑体"/>
          <w:sz w:val="32"/>
        </w:rPr>
        <w:t>附件</w:t>
      </w:r>
      <w:r>
        <w:rPr>
          <w:rFonts w:ascii="黑体" w:hAnsi="黑体" w:eastAsia="黑体" w:cs="黑体"/>
          <w:sz w:val="32"/>
        </w:rPr>
        <w:t>3</w:t>
      </w:r>
    </w:p>
    <w:p>
      <w:pPr>
        <w:pStyle w:val="10"/>
        <w:ind w:firstLine="0" w:firstLineChars="0"/>
        <w:rPr>
          <w:rFonts w:ascii="黑体" w:hAnsi="黑体" w:eastAsia="黑体" w:cs="黑体"/>
          <w:sz w:val="32"/>
        </w:rPr>
      </w:pPr>
    </w:p>
    <w:p>
      <w:pPr>
        <w:pStyle w:val="2"/>
        <w:spacing w:line="60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信用风险权重法表内资产风险权重、表外项目信用转换系数及合格信用风险缓释工具</w:t>
      </w:r>
    </w:p>
    <w:p>
      <w:pPr>
        <w:pStyle w:val="2"/>
        <w:ind w:firstLine="0" w:firstLineChars="0"/>
        <w:jc w:val="center"/>
        <w:rPr>
          <w:sz w:val="44"/>
          <w:szCs w:val="44"/>
        </w:rPr>
      </w:pPr>
    </w:p>
    <w:p>
      <w:pPr>
        <w:pStyle w:val="2"/>
      </w:pPr>
      <w:r>
        <w:rPr>
          <w:rFonts w:hint="eastAsia"/>
        </w:rPr>
        <w:t>一、表内资产风险权重</w:t>
      </w:r>
    </w:p>
    <w:p>
      <w:pPr>
        <w:jc w:val="center"/>
        <w:rPr>
          <w:rFonts w:ascii="楷体_GB2312" w:hAnsi="Times New Roman" w:eastAsia="楷体_GB2312" w:cs="Times New Roman"/>
          <w:b/>
          <w:sz w:val="28"/>
          <w:szCs w:val="28"/>
        </w:rPr>
      </w:pPr>
      <w:r>
        <w:rPr>
          <w:rFonts w:hint="eastAsia" w:ascii="楷体_GB2312" w:hAnsi="Times New Roman" w:eastAsia="楷体_GB2312" w:cs="Times New Roman"/>
          <w:b/>
          <w:sz w:val="28"/>
          <w:szCs w:val="28"/>
        </w:rPr>
        <w:t>表1 表内资产风险权重表</w:t>
      </w:r>
    </w:p>
    <w:tbl>
      <w:tblPr>
        <w:tblStyle w:val="12"/>
        <w:tblW w:w="8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1"/>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81" w:type="dxa"/>
            <w:vAlign w:val="center"/>
          </w:tcPr>
          <w:p>
            <w:pPr>
              <w:jc w:val="center"/>
              <w:rPr>
                <w:rFonts w:ascii="宋体" w:hAnsi="宋体" w:eastAsia="宋体" w:cs="宋体"/>
                <w:sz w:val="24"/>
              </w:rPr>
            </w:pPr>
            <w:r>
              <w:rPr>
                <w:rFonts w:hint="eastAsia" w:ascii="宋体" w:hAnsi="宋体" w:eastAsia="宋体" w:cs="宋体"/>
                <w:bCs/>
                <w:sz w:val="24"/>
              </w:rPr>
              <w:t>项目</w:t>
            </w:r>
          </w:p>
        </w:tc>
        <w:tc>
          <w:tcPr>
            <w:tcW w:w="1635" w:type="dxa"/>
            <w:vAlign w:val="center"/>
          </w:tcPr>
          <w:p>
            <w:pPr>
              <w:jc w:val="center"/>
              <w:rPr>
                <w:rFonts w:ascii="宋体" w:hAnsi="宋体" w:eastAsia="宋体" w:cs="宋体"/>
                <w:sz w:val="24"/>
              </w:rPr>
            </w:pPr>
            <w:r>
              <w:rPr>
                <w:rFonts w:hint="eastAsia" w:ascii="宋体" w:hAnsi="宋体" w:eastAsia="宋体" w:cs="宋体"/>
                <w:bCs/>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b/>
                <w:bCs/>
                <w:sz w:val="24"/>
              </w:rPr>
              <w:t>1.现金类资产</w:t>
            </w:r>
          </w:p>
        </w:tc>
        <w:tc>
          <w:tcPr>
            <w:tcW w:w="1635" w:type="dxa"/>
            <w:vAlign w:val="center"/>
          </w:tcPr>
          <w:p>
            <w:pPr>
              <w:jc w:val="right"/>
              <w:rPr>
                <w:rFonts w:ascii="宋体" w:hAnsi="宋体" w:eastAsia="宋体" w:cs="宋体"/>
                <w:sz w:val="24"/>
              </w:rPr>
            </w:pPr>
            <w:r>
              <w:rPr>
                <w:rFonts w:hint="eastAsia" w:ascii="宋体" w:hAnsi="宋体" w:eastAsia="宋体"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1.1现金</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1.2黄金</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1.3存放中国人民银行款项</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b/>
                <w:bCs/>
                <w:sz w:val="24"/>
              </w:rPr>
              <w:t>2.对主权的风险暴露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2.1对我国中央政府的风险暴露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2.2对中国人民银行的风险暴露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2.3对评级AA-（含）以上的国家或地区的中央政府和中央银行的风险暴露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2.4对评级AA-以下，A-（含）以上的国家或地区的中央政府和中央银行的风险暴露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2.5对评级A-以下，BBB-（含）以上的国家或地区的中央政府和中央银行的风险暴露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2.6对评级BBB-以下，B-（含）以上的国家或地区的中央政府和中央银行的风险暴露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2.7对评级B-以下的国家或地区的中央政府和中央银行的风险暴露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2.8对未评级的国家或地区的中央政府和中央银行的风险暴露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2.9对国际清算银行、国际货币基金组织、欧洲中央银行、欧盟、欧洲稳定机制和欧洲金融稳定机制等的风险暴露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3.对我国公共部门实体的风险暴露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3.1视同我国主权的公共部门实体风险暴露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3.1.1对我国中央政府投资的金融资产管理公司为收购国有银行不良贷款而定向发行的债券</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3.1.2对省级（自治区、直辖市）及计划单列市人民政府的风险暴露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3.1.2.1</w:t>
            </w:r>
            <w:r>
              <w:rPr>
                <w:rFonts w:hint="eastAsia" w:ascii="宋体" w:hAnsi="宋体" w:eastAsia="宋体" w:cs="宋体"/>
                <w:bCs/>
                <w:sz w:val="24"/>
                <w:lang w:val="zh-TW"/>
              </w:rPr>
              <w:t>一般债券</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3.1.2.2专项债券</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3.1.3</w:t>
            </w:r>
            <w:r>
              <w:rPr>
                <w:rFonts w:hint="eastAsia" w:ascii="宋体" w:hAnsi="宋体" w:eastAsia="宋体" w:cs="宋体"/>
                <w:color w:val="000000"/>
                <w:sz w:val="24"/>
              </w:rPr>
              <w:t>对除财政部和中国人民银行外，其他收入主要源于中央财政的公共部门实体的风险暴露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3.2 对经国家金融监督管理总局认定的我国一般公共部门实体风险暴露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b/>
                <w:bCs/>
                <w:sz w:val="24"/>
              </w:rPr>
              <w:t>4.对在其他国家或地区注册的公共部门实体的风险暴露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4.1对评级AA-（含）以上国家或地区注册的公共部门实体的风险暴露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4.2对评级AA-以下，A-（含）以上国家或地区注册的公共部门实体的风险暴露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4.3对评级A-以下，B-(含)以上国家或地区注册的公共部门实体的风险暴露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4.4对评级B-以下国家或地区注册的公共部门实体的风险暴露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4.5对未评级的国家或地区注册的公共部门实体的风险暴露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b/>
                <w:bCs/>
                <w:sz w:val="24"/>
              </w:rPr>
              <w:t>5.对我国开发性金融机构和政策性银行的风险暴露（不含次级债权）</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6.对多边开发银行的风险暴露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6.1对合格多边开发银行的风险暴露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6.2对评级AA-（含）以上的其他多边开发银行的风险暴露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6.3对评级AA-以下，A-（含）以上的其他多边开发银行的风险暴露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6.4对评级A-以下，BBB-（含）以上的其他多边开发银行的风险暴露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6.5对评级BBB-以下，B-（含）以上的其他多边开发银行的风险暴露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6.6对评级B-以下的其他多边开发银行的风险暴露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6.7对未评级的其他多边开发银行的风险暴露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7.对境内外金融机构的风险暴露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7.1对</w:t>
            </w:r>
            <w:r>
              <w:rPr>
                <w:rFonts w:hint="eastAsia" w:ascii="宋体" w:hAnsi="宋体" w:eastAsia="宋体" w:cs="宋体"/>
                <w:sz w:val="24"/>
                <w:lang w:val="zh-TW"/>
              </w:rPr>
              <w:t>境内外</w:t>
            </w:r>
            <w:r>
              <w:rPr>
                <w:rFonts w:hint="eastAsia" w:ascii="宋体" w:hAnsi="宋体" w:eastAsia="宋体" w:cs="宋体"/>
                <w:sz w:val="24"/>
              </w:rPr>
              <w:t>其他商业银行的风险暴露（不含次级债权）</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7.1.1对A+级商业银行的风险暴露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7.1.1.1对A+级商业银行</w:t>
            </w:r>
            <w:r>
              <w:rPr>
                <w:rFonts w:hint="eastAsia" w:ascii="宋体" w:hAnsi="宋体" w:eastAsia="宋体" w:cs="宋体"/>
                <w:sz w:val="24"/>
                <w:lang w:val="zh-TW"/>
              </w:rPr>
              <w:t>原始期限三个月（含）以内，或因跨境</w:t>
            </w:r>
            <w:r>
              <w:rPr>
                <w:rFonts w:hint="eastAsia" w:ascii="宋体" w:hAnsi="宋体" w:eastAsia="宋体" w:cs="宋体"/>
                <w:sz w:val="24"/>
              </w:rPr>
              <w:t>货物</w:t>
            </w:r>
            <w:r>
              <w:rPr>
                <w:rFonts w:hint="eastAsia" w:ascii="宋体" w:hAnsi="宋体" w:eastAsia="宋体" w:cs="宋体"/>
                <w:sz w:val="24"/>
                <w:lang w:val="zh-TW"/>
              </w:rPr>
              <w:t>贸易而产生的原始期限六个月（含）以内的风险暴露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7.1.1.2对A+级商业银行的其他风险暴露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7.1.2对A级商业银行的风险暴露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7.1.2.1对A级商业银行</w:t>
            </w:r>
            <w:r>
              <w:rPr>
                <w:rFonts w:hint="eastAsia" w:ascii="宋体" w:hAnsi="宋体" w:eastAsia="宋体" w:cs="宋体"/>
                <w:sz w:val="24"/>
                <w:lang w:val="zh-TW"/>
              </w:rPr>
              <w:t>原始期限三个月（含）以内，或因跨境</w:t>
            </w:r>
            <w:r>
              <w:rPr>
                <w:rFonts w:hint="eastAsia" w:ascii="宋体" w:hAnsi="宋体" w:eastAsia="宋体" w:cs="宋体"/>
                <w:sz w:val="24"/>
              </w:rPr>
              <w:t>货物</w:t>
            </w:r>
            <w:r>
              <w:rPr>
                <w:rFonts w:hint="eastAsia" w:ascii="宋体" w:hAnsi="宋体" w:eastAsia="宋体" w:cs="宋体"/>
                <w:sz w:val="24"/>
                <w:lang w:val="zh-TW"/>
              </w:rPr>
              <w:t>贸易而产生的原始期限六个月（含）以内的风险暴露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7.1.2.2对A级商业银行的其他风险暴露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7.1.3对B级商业银行的风险暴露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7.1.3.1对B级商业银行</w:t>
            </w:r>
            <w:r>
              <w:rPr>
                <w:rFonts w:hint="eastAsia" w:ascii="宋体" w:hAnsi="宋体" w:eastAsia="宋体" w:cs="宋体"/>
                <w:sz w:val="24"/>
                <w:lang w:val="zh-TW"/>
              </w:rPr>
              <w:t>原始期限三个月（含）以内，或因跨境</w:t>
            </w:r>
            <w:r>
              <w:rPr>
                <w:rFonts w:hint="eastAsia" w:ascii="宋体" w:hAnsi="宋体" w:eastAsia="宋体" w:cs="宋体"/>
                <w:sz w:val="24"/>
              </w:rPr>
              <w:t>货物</w:t>
            </w:r>
            <w:r>
              <w:rPr>
                <w:rFonts w:hint="eastAsia" w:ascii="宋体" w:hAnsi="宋体" w:eastAsia="宋体" w:cs="宋体"/>
                <w:sz w:val="24"/>
                <w:lang w:val="zh-TW"/>
              </w:rPr>
              <w:t>贸易而产生的原始期限六个月（含）以内的风险暴露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7.1.3.2对B级商业银行的其他风险暴露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7.1.4对C级商业银行的风险暴露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7.2对境内外其他金融机构的风险暴露（不含次级债权）</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7.2.1对投资级其他金融机构的风险暴露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7.2.2对一般其他金融机构的风险暴露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8.对公司的风险暴露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8.1对一般公司的风险暴露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bCs/>
                <w:sz w:val="24"/>
              </w:rPr>
              <w:t>8.1.1对投资级公司的风险暴露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8.1.2对中小企业的风险暴露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8.1.3对小微企业的风险暴露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Cs/>
                <w:sz w:val="24"/>
              </w:rPr>
            </w:pPr>
            <w:r>
              <w:rPr>
                <w:rFonts w:hint="eastAsia" w:ascii="宋体" w:hAnsi="宋体" w:eastAsia="宋体" w:cs="宋体"/>
                <w:sz w:val="24"/>
              </w:rPr>
              <w:t>8.</w:t>
            </w:r>
            <w:r>
              <w:rPr>
                <w:rFonts w:hint="eastAsia" w:ascii="宋体" w:hAnsi="宋体" w:eastAsia="宋体" w:cs="宋体"/>
                <w:bCs/>
                <w:sz w:val="24"/>
              </w:rPr>
              <w:t>1.</w:t>
            </w:r>
            <w:r>
              <w:rPr>
                <w:rFonts w:hint="eastAsia" w:ascii="宋体" w:hAnsi="宋体" w:eastAsia="宋体" w:cs="宋体"/>
                <w:sz w:val="24"/>
              </w:rPr>
              <w:t>4对其他一般公司的风险暴露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8.2对专业贷款的风险暴露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8.2.1对项目融资的风险暴露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8.2.1.1运营前阶段的项目融资</w:t>
            </w:r>
          </w:p>
        </w:tc>
        <w:tc>
          <w:tcPr>
            <w:tcW w:w="1635" w:type="dxa"/>
            <w:vAlign w:val="center"/>
          </w:tcPr>
          <w:p>
            <w:pPr>
              <w:jc w:val="center"/>
              <w:rPr>
                <w:rFonts w:ascii="宋体" w:hAnsi="宋体" w:eastAsia="宋体" w:cs="宋体"/>
                <w:sz w:val="24"/>
              </w:rPr>
            </w:pPr>
            <w:r>
              <w:rPr>
                <w:rFonts w:hint="eastAsia" w:ascii="宋体" w:hAnsi="宋体" w:eastAsia="宋体" w:cs="宋体"/>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8.2.1.2运营阶段的项目融资</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8.2.2对物品融资的风险暴露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8.2.3对商品融资的风险暴露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9.对个人的风险暴露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9.1对个人的风险暴露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9.1.1对</w:t>
            </w:r>
            <w:r>
              <w:rPr>
                <w:rFonts w:hint="eastAsia" w:ascii="宋体" w:hAnsi="宋体" w:eastAsia="宋体" w:cs="宋体"/>
                <w:bCs/>
                <w:sz w:val="24"/>
                <w:lang w:val="zh-TW"/>
              </w:rPr>
              <w:t>监管零售个人风险暴露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9.1.1.1对</w:t>
            </w:r>
            <w:r>
              <w:rPr>
                <w:rFonts w:hint="eastAsia" w:ascii="宋体" w:hAnsi="宋体" w:eastAsia="宋体" w:cs="宋体"/>
                <w:bCs/>
                <w:sz w:val="24"/>
                <w:lang w:val="zh-TW"/>
              </w:rPr>
              <w:t>合格交易者个人风险暴露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9.1.1.2对其他监管零售个人</w:t>
            </w:r>
            <w:r>
              <w:rPr>
                <w:rFonts w:hint="eastAsia" w:ascii="宋体" w:hAnsi="宋体" w:eastAsia="宋体" w:cs="宋体"/>
                <w:bCs/>
                <w:sz w:val="24"/>
                <w:lang w:val="zh-TW"/>
              </w:rPr>
              <w:t>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9.1.2对其他个人风险暴露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9.</w:t>
            </w:r>
            <w:r>
              <w:rPr>
                <w:rFonts w:ascii="宋体" w:hAnsi="宋体" w:eastAsia="宋体" w:cs="宋体"/>
                <w:bCs/>
                <w:sz w:val="24"/>
              </w:rPr>
              <w:t>2</w:t>
            </w:r>
            <w:r>
              <w:rPr>
                <w:rFonts w:hint="eastAsia" w:ascii="宋体" w:hAnsi="宋体" w:eastAsia="宋体" w:cs="宋体"/>
                <w:bCs/>
                <w:sz w:val="24"/>
              </w:rPr>
              <w:t>对存在币种错配情形的个人风险暴露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min（无币种错配情形下风险权重的1.5倍,150%）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10.房地产开发风险暴露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sz w:val="24"/>
              </w:rPr>
              <w:t>10.1对符合审慎要求的房地产开发风险暴露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10.2对其他房地产开发风险暴露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11.居住用房地产风险暴露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sz w:val="24"/>
              </w:rPr>
              <w:t>11.1对还款不实质依赖于房地产所产生的现金流的居住用房地产风险暴露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11.1.1对符合审慎要求的居住用房地产风险暴露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11.1.1.1贷款价值比在</w:t>
            </w:r>
            <w:r>
              <w:rPr>
                <w:rFonts w:ascii="宋体" w:hAnsi="宋体" w:eastAsia="宋体" w:cs="宋体"/>
                <w:sz w:val="24"/>
              </w:rPr>
              <w:t>5</w:t>
            </w:r>
            <w:r>
              <w:rPr>
                <w:rFonts w:hint="eastAsia" w:ascii="宋体" w:hAnsi="宋体" w:eastAsia="宋体" w:cs="宋体"/>
                <w:sz w:val="24"/>
              </w:rPr>
              <w:t>0%（含）以下</w:t>
            </w:r>
          </w:p>
        </w:tc>
        <w:tc>
          <w:tcPr>
            <w:tcW w:w="1635" w:type="dxa"/>
            <w:vAlign w:val="center"/>
          </w:tcPr>
          <w:p>
            <w:pPr>
              <w:jc w:val="center"/>
              <w:rPr>
                <w:rFonts w:ascii="宋体" w:hAnsi="宋体" w:eastAsia="宋体" w:cs="宋体"/>
                <w:sz w:val="24"/>
              </w:rPr>
            </w:pPr>
            <w:r>
              <w:rPr>
                <w:rFonts w:ascii="宋体" w:hAnsi="宋体" w:eastAsia="宋体" w:cs="宋体"/>
                <w:sz w:val="24"/>
              </w:rPr>
              <w:t>20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w:t>
            </w:r>
            <w:r>
              <w:rPr>
                <w:rFonts w:ascii="宋体" w:hAnsi="宋体" w:eastAsia="宋体" w:cs="宋体"/>
                <w:sz w:val="24"/>
              </w:rPr>
              <w:t>2</w:t>
            </w:r>
            <w:r>
              <w:rPr>
                <w:rFonts w:hint="eastAsia" w:ascii="宋体" w:hAnsi="宋体" w:eastAsia="宋体" w:cs="宋体"/>
                <w:sz w:val="24"/>
              </w:rPr>
              <w:t>贷款价值比在</w:t>
            </w:r>
            <w:r>
              <w:rPr>
                <w:rFonts w:ascii="宋体" w:hAnsi="宋体" w:eastAsia="宋体" w:cs="宋体"/>
                <w:sz w:val="24"/>
              </w:rPr>
              <w:t>5</w:t>
            </w:r>
            <w:r>
              <w:rPr>
                <w:rFonts w:hint="eastAsia" w:ascii="宋体" w:hAnsi="宋体" w:eastAsia="宋体" w:cs="宋体"/>
                <w:sz w:val="24"/>
              </w:rPr>
              <w:t>0%至</w:t>
            </w:r>
            <w:r>
              <w:rPr>
                <w:rFonts w:ascii="宋体" w:hAnsi="宋体" w:eastAsia="宋体" w:cs="宋体"/>
                <w:sz w:val="24"/>
              </w:rPr>
              <w:t>6</w:t>
            </w:r>
            <w:r>
              <w:rPr>
                <w:rFonts w:hint="eastAsia" w:ascii="宋体" w:hAnsi="宋体" w:eastAsia="宋体" w:cs="宋体"/>
                <w:sz w:val="24"/>
              </w:rPr>
              <w:t>0%（含）</w:t>
            </w:r>
          </w:p>
        </w:tc>
        <w:tc>
          <w:tcPr>
            <w:tcW w:w="1635" w:type="dxa"/>
            <w:vAlign w:val="center"/>
          </w:tcPr>
          <w:p>
            <w:pPr>
              <w:jc w:val="center"/>
              <w:rPr>
                <w:rFonts w:ascii="宋体" w:hAnsi="宋体" w:eastAsia="宋体" w:cs="宋体"/>
                <w:sz w:val="24"/>
              </w:rPr>
            </w:pPr>
            <w:r>
              <w:rPr>
                <w:rFonts w:ascii="宋体" w:hAnsi="宋体" w:eastAsia="宋体" w:cs="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w:t>
            </w:r>
            <w:r>
              <w:rPr>
                <w:rFonts w:ascii="宋体" w:hAnsi="宋体" w:eastAsia="宋体" w:cs="宋体"/>
                <w:sz w:val="24"/>
              </w:rPr>
              <w:t>3</w:t>
            </w:r>
            <w:r>
              <w:rPr>
                <w:rFonts w:hint="eastAsia" w:ascii="宋体" w:hAnsi="宋体" w:eastAsia="宋体" w:cs="宋体"/>
                <w:sz w:val="24"/>
              </w:rPr>
              <w:t>贷款价值比在60%至</w:t>
            </w:r>
            <w:r>
              <w:rPr>
                <w:rFonts w:ascii="宋体" w:hAnsi="宋体" w:eastAsia="宋体" w:cs="宋体"/>
                <w:sz w:val="24"/>
              </w:rPr>
              <w:t>7</w:t>
            </w:r>
            <w:r>
              <w:rPr>
                <w:rFonts w:hint="eastAsia" w:ascii="宋体" w:hAnsi="宋体" w:eastAsia="宋体" w:cs="宋体"/>
                <w:sz w:val="24"/>
              </w:rPr>
              <w:t>0%（含）</w:t>
            </w:r>
          </w:p>
        </w:tc>
        <w:tc>
          <w:tcPr>
            <w:tcW w:w="1635" w:type="dxa"/>
            <w:vAlign w:val="center"/>
          </w:tcPr>
          <w:p>
            <w:pPr>
              <w:jc w:val="center"/>
              <w:rPr>
                <w:rFonts w:ascii="宋体" w:hAnsi="宋体" w:eastAsia="宋体" w:cs="宋体"/>
                <w:sz w:val="24"/>
              </w:rPr>
            </w:pPr>
            <w:r>
              <w:rPr>
                <w:rFonts w:ascii="宋体" w:hAnsi="宋体" w:eastAsia="宋体" w:cs="宋体"/>
                <w:sz w:val="24"/>
              </w:rPr>
              <w:t>30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w:t>
            </w:r>
            <w:r>
              <w:rPr>
                <w:rFonts w:ascii="宋体" w:hAnsi="宋体" w:eastAsia="宋体" w:cs="宋体"/>
                <w:sz w:val="24"/>
              </w:rPr>
              <w:t>4</w:t>
            </w:r>
            <w:r>
              <w:rPr>
                <w:rFonts w:hint="eastAsia" w:ascii="宋体" w:hAnsi="宋体" w:eastAsia="宋体" w:cs="宋体"/>
                <w:sz w:val="24"/>
              </w:rPr>
              <w:t>贷款价值比在</w:t>
            </w:r>
            <w:r>
              <w:rPr>
                <w:rFonts w:ascii="宋体" w:hAnsi="宋体" w:eastAsia="宋体" w:cs="宋体"/>
                <w:sz w:val="24"/>
              </w:rPr>
              <w:t>7</w:t>
            </w:r>
            <w:r>
              <w:rPr>
                <w:rFonts w:hint="eastAsia" w:ascii="宋体" w:hAnsi="宋体" w:eastAsia="宋体" w:cs="宋体"/>
                <w:sz w:val="24"/>
              </w:rPr>
              <w:t>0%至</w:t>
            </w:r>
            <w:r>
              <w:rPr>
                <w:rFonts w:ascii="宋体" w:hAnsi="宋体" w:eastAsia="宋体" w:cs="宋体"/>
                <w:sz w:val="24"/>
              </w:rPr>
              <w:t>8</w:t>
            </w:r>
            <w:r>
              <w:rPr>
                <w:rFonts w:hint="eastAsia" w:ascii="宋体" w:hAnsi="宋体" w:eastAsia="宋体" w:cs="宋体"/>
                <w:sz w:val="24"/>
              </w:rPr>
              <w:t>0%（含）</w:t>
            </w:r>
          </w:p>
        </w:tc>
        <w:tc>
          <w:tcPr>
            <w:tcW w:w="1635" w:type="dxa"/>
            <w:vAlign w:val="center"/>
          </w:tcPr>
          <w:p>
            <w:pPr>
              <w:jc w:val="center"/>
              <w:rPr>
                <w:rFonts w:ascii="宋体" w:hAnsi="宋体" w:eastAsia="宋体" w:cs="宋体"/>
                <w:sz w:val="24"/>
              </w:rPr>
            </w:pPr>
            <w:r>
              <w:rPr>
                <w:rFonts w:ascii="宋体" w:hAnsi="宋体" w:eastAsia="宋体" w:cs="宋体"/>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w:t>
            </w:r>
            <w:r>
              <w:rPr>
                <w:rFonts w:ascii="宋体" w:hAnsi="宋体" w:eastAsia="宋体" w:cs="宋体"/>
                <w:sz w:val="24"/>
              </w:rPr>
              <w:t>5</w:t>
            </w:r>
            <w:r>
              <w:rPr>
                <w:rFonts w:hint="eastAsia" w:ascii="宋体" w:hAnsi="宋体" w:eastAsia="宋体" w:cs="宋体"/>
                <w:sz w:val="24"/>
              </w:rPr>
              <w:t>贷款价值比在80%至90%（含）</w:t>
            </w:r>
          </w:p>
        </w:tc>
        <w:tc>
          <w:tcPr>
            <w:tcW w:w="1635" w:type="dxa"/>
            <w:vAlign w:val="center"/>
          </w:tcPr>
          <w:p>
            <w:pPr>
              <w:jc w:val="center"/>
              <w:rPr>
                <w:rFonts w:ascii="宋体" w:hAnsi="宋体" w:eastAsia="宋体" w:cs="宋体"/>
                <w:sz w:val="24"/>
              </w:rPr>
            </w:pPr>
            <w:r>
              <w:rPr>
                <w:rFonts w:ascii="宋体" w:hAnsi="宋体" w:eastAsia="宋体" w:cs="宋体"/>
                <w:sz w:val="24"/>
              </w:rPr>
              <w:t>40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w:t>
            </w:r>
            <w:r>
              <w:rPr>
                <w:rFonts w:ascii="宋体" w:hAnsi="宋体" w:eastAsia="宋体" w:cs="宋体"/>
                <w:sz w:val="24"/>
              </w:rPr>
              <w:t>6</w:t>
            </w:r>
            <w:r>
              <w:rPr>
                <w:rFonts w:hint="eastAsia" w:ascii="宋体" w:hAnsi="宋体" w:eastAsia="宋体" w:cs="宋体"/>
                <w:sz w:val="24"/>
              </w:rPr>
              <w:t>贷款价值比在90%至100%（含）</w:t>
            </w:r>
          </w:p>
        </w:tc>
        <w:tc>
          <w:tcPr>
            <w:tcW w:w="1635" w:type="dxa"/>
            <w:vAlign w:val="center"/>
          </w:tcPr>
          <w:p>
            <w:pPr>
              <w:jc w:val="center"/>
              <w:rPr>
                <w:rFonts w:ascii="宋体" w:hAnsi="宋体" w:eastAsia="宋体" w:cs="宋体"/>
                <w:sz w:val="24"/>
              </w:rPr>
            </w:pPr>
            <w:r>
              <w:rPr>
                <w:rFonts w:ascii="宋体" w:hAnsi="宋体" w:eastAsia="宋体" w:cs="宋体"/>
                <w:sz w:val="24"/>
              </w:rPr>
              <w:t>50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11.1.1.</w:t>
            </w:r>
            <w:r>
              <w:rPr>
                <w:rFonts w:ascii="宋体" w:hAnsi="宋体" w:eastAsia="宋体" w:cs="宋体"/>
                <w:sz w:val="24"/>
              </w:rPr>
              <w:t>7</w:t>
            </w:r>
            <w:r>
              <w:rPr>
                <w:rFonts w:hint="eastAsia" w:ascii="宋体" w:hAnsi="宋体" w:eastAsia="宋体" w:cs="宋体"/>
                <w:sz w:val="24"/>
              </w:rPr>
              <w:t>贷款价值比在100%（不含）以上</w:t>
            </w:r>
          </w:p>
        </w:tc>
        <w:tc>
          <w:tcPr>
            <w:tcW w:w="1635" w:type="dxa"/>
            <w:vAlign w:val="center"/>
          </w:tcPr>
          <w:p>
            <w:pPr>
              <w:jc w:val="center"/>
              <w:rPr>
                <w:rFonts w:ascii="宋体" w:hAnsi="宋体" w:eastAsia="宋体" w:cs="宋体"/>
                <w:sz w:val="24"/>
              </w:rPr>
            </w:pPr>
            <w:r>
              <w:rPr>
                <w:rFonts w:hint="eastAsia" w:ascii="宋体" w:hAnsi="宋体" w:eastAsia="宋体" w:cs="宋体"/>
                <w:bCs/>
                <w:sz w:val="24"/>
              </w:rPr>
              <w:t>交易对手风险权重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11.1.2对不符合审慎要求的居住用房地产风险暴露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交易对手风险权重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11.2对还款实质依赖于房地产所产生的现金流的居住用房地产风险暴露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11.2.1对符合审慎要求的居住用房地产风险暴露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11.2.1.1贷款价值比在</w:t>
            </w:r>
            <w:r>
              <w:rPr>
                <w:rFonts w:ascii="宋体" w:hAnsi="宋体" w:eastAsia="宋体" w:cs="宋体"/>
                <w:sz w:val="24"/>
              </w:rPr>
              <w:t>5</w:t>
            </w:r>
            <w:r>
              <w:rPr>
                <w:rFonts w:hint="eastAsia" w:ascii="宋体" w:hAnsi="宋体" w:eastAsia="宋体" w:cs="宋体"/>
                <w:sz w:val="24"/>
              </w:rPr>
              <w:t>0%（含）以下</w:t>
            </w:r>
          </w:p>
        </w:tc>
        <w:tc>
          <w:tcPr>
            <w:tcW w:w="1635" w:type="dxa"/>
            <w:vAlign w:val="center"/>
          </w:tcPr>
          <w:p>
            <w:pPr>
              <w:jc w:val="center"/>
              <w:rPr>
                <w:rFonts w:ascii="宋体" w:hAnsi="宋体" w:eastAsia="宋体" w:cs="宋体"/>
                <w:sz w:val="24"/>
              </w:rPr>
            </w:pPr>
            <w:r>
              <w:rPr>
                <w:rFonts w:ascii="宋体" w:hAnsi="宋体" w:eastAsia="宋体" w:cs="宋体"/>
                <w:sz w:val="24"/>
              </w:rPr>
              <w:t>30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w:t>
            </w:r>
            <w:r>
              <w:rPr>
                <w:rFonts w:ascii="宋体" w:hAnsi="宋体" w:eastAsia="宋体" w:cs="宋体"/>
                <w:sz w:val="24"/>
              </w:rPr>
              <w:t>2</w:t>
            </w:r>
            <w:r>
              <w:rPr>
                <w:rFonts w:hint="eastAsia" w:ascii="宋体" w:hAnsi="宋体" w:eastAsia="宋体" w:cs="宋体"/>
                <w:sz w:val="24"/>
              </w:rPr>
              <w:t>贷款价值比在</w:t>
            </w:r>
            <w:r>
              <w:rPr>
                <w:rFonts w:ascii="宋体" w:hAnsi="宋体" w:eastAsia="宋体" w:cs="宋体"/>
                <w:sz w:val="24"/>
              </w:rPr>
              <w:t>5</w:t>
            </w:r>
            <w:r>
              <w:rPr>
                <w:rFonts w:hint="eastAsia" w:ascii="宋体" w:hAnsi="宋体" w:eastAsia="宋体" w:cs="宋体"/>
                <w:sz w:val="24"/>
              </w:rPr>
              <w:t>0%至</w:t>
            </w:r>
            <w:r>
              <w:rPr>
                <w:rFonts w:ascii="宋体" w:hAnsi="宋体" w:eastAsia="宋体" w:cs="宋体"/>
                <w:sz w:val="24"/>
              </w:rPr>
              <w:t>6</w:t>
            </w:r>
            <w:r>
              <w:rPr>
                <w:rFonts w:hint="eastAsia" w:ascii="宋体" w:hAnsi="宋体" w:eastAsia="宋体" w:cs="宋体"/>
                <w:sz w:val="24"/>
              </w:rPr>
              <w:t>0%（含）</w:t>
            </w:r>
          </w:p>
        </w:tc>
        <w:tc>
          <w:tcPr>
            <w:tcW w:w="1635" w:type="dxa"/>
            <w:vAlign w:val="center"/>
          </w:tcPr>
          <w:p>
            <w:pPr>
              <w:jc w:val="center"/>
              <w:rPr>
                <w:rFonts w:ascii="宋体" w:hAnsi="宋体" w:eastAsia="宋体" w:cs="宋体"/>
                <w:sz w:val="24"/>
              </w:rPr>
            </w:pPr>
            <w:r>
              <w:rPr>
                <w:rFonts w:ascii="宋体" w:hAnsi="宋体" w:eastAsia="宋体" w:cs="宋体"/>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11.2.1.3贷款价值比在60%至</w:t>
            </w:r>
            <w:r>
              <w:rPr>
                <w:rFonts w:ascii="宋体" w:hAnsi="宋体" w:eastAsia="宋体" w:cs="宋体"/>
                <w:sz w:val="24"/>
              </w:rPr>
              <w:t>7</w:t>
            </w:r>
            <w:r>
              <w:rPr>
                <w:rFonts w:hint="eastAsia" w:ascii="宋体" w:hAnsi="宋体" w:eastAsia="宋体" w:cs="宋体"/>
                <w:sz w:val="24"/>
              </w:rPr>
              <w:t>0%（含）</w:t>
            </w:r>
          </w:p>
        </w:tc>
        <w:tc>
          <w:tcPr>
            <w:tcW w:w="1635" w:type="dxa"/>
            <w:vAlign w:val="center"/>
          </w:tcPr>
          <w:p>
            <w:pPr>
              <w:jc w:val="center"/>
              <w:rPr>
                <w:rFonts w:ascii="宋体" w:hAnsi="宋体" w:eastAsia="宋体" w:cs="宋体"/>
                <w:sz w:val="24"/>
              </w:rPr>
            </w:pPr>
            <w:r>
              <w:rPr>
                <w:rFonts w:ascii="宋体" w:hAnsi="宋体" w:eastAsia="宋体" w:cs="宋体"/>
                <w:sz w:val="24"/>
              </w:rPr>
              <w:t>45</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w:t>
            </w:r>
            <w:r>
              <w:rPr>
                <w:rFonts w:ascii="宋体" w:hAnsi="宋体" w:eastAsia="宋体" w:cs="宋体"/>
                <w:sz w:val="24"/>
              </w:rPr>
              <w:t>4</w:t>
            </w:r>
            <w:r>
              <w:rPr>
                <w:rFonts w:hint="eastAsia" w:ascii="宋体" w:hAnsi="宋体" w:eastAsia="宋体" w:cs="宋体"/>
                <w:sz w:val="24"/>
              </w:rPr>
              <w:t>贷款价值比在</w:t>
            </w:r>
            <w:r>
              <w:rPr>
                <w:rFonts w:ascii="宋体" w:hAnsi="宋体" w:eastAsia="宋体" w:cs="宋体"/>
                <w:sz w:val="24"/>
              </w:rPr>
              <w:t>7</w:t>
            </w:r>
            <w:r>
              <w:rPr>
                <w:rFonts w:hint="eastAsia" w:ascii="宋体" w:hAnsi="宋体" w:eastAsia="宋体" w:cs="宋体"/>
                <w:sz w:val="24"/>
              </w:rPr>
              <w:t>0%至</w:t>
            </w:r>
            <w:r>
              <w:rPr>
                <w:rFonts w:ascii="宋体" w:hAnsi="宋体" w:eastAsia="宋体" w:cs="宋体"/>
                <w:sz w:val="24"/>
              </w:rPr>
              <w:t>8</w:t>
            </w:r>
            <w:r>
              <w:rPr>
                <w:rFonts w:hint="eastAsia" w:ascii="宋体" w:hAnsi="宋体" w:eastAsia="宋体" w:cs="宋体"/>
                <w:sz w:val="24"/>
              </w:rPr>
              <w:t>0%（含）</w:t>
            </w:r>
          </w:p>
        </w:tc>
        <w:tc>
          <w:tcPr>
            <w:tcW w:w="1635" w:type="dxa"/>
            <w:vAlign w:val="center"/>
          </w:tcPr>
          <w:p>
            <w:pPr>
              <w:jc w:val="center"/>
              <w:rPr>
                <w:rFonts w:ascii="宋体" w:hAnsi="宋体" w:eastAsia="宋体" w:cs="宋体"/>
                <w:sz w:val="24"/>
              </w:rPr>
            </w:pPr>
            <w:r>
              <w:rPr>
                <w:rFonts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w:t>
            </w:r>
            <w:r>
              <w:rPr>
                <w:rFonts w:ascii="宋体" w:hAnsi="宋体" w:eastAsia="宋体" w:cs="宋体"/>
                <w:sz w:val="24"/>
              </w:rPr>
              <w:t>5</w:t>
            </w:r>
            <w:r>
              <w:rPr>
                <w:rFonts w:hint="eastAsia" w:ascii="宋体" w:hAnsi="宋体" w:eastAsia="宋体" w:cs="宋体"/>
                <w:sz w:val="24"/>
              </w:rPr>
              <w:t xml:space="preserve"> 贷款价值比在80%至90%（含）</w:t>
            </w:r>
          </w:p>
        </w:tc>
        <w:tc>
          <w:tcPr>
            <w:tcW w:w="1635" w:type="dxa"/>
            <w:vAlign w:val="center"/>
          </w:tcPr>
          <w:p>
            <w:pPr>
              <w:jc w:val="center"/>
              <w:rPr>
                <w:rFonts w:ascii="宋体" w:hAnsi="宋体" w:eastAsia="宋体" w:cs="宋体"/>
                <w:sz w:val="24"/>
              </w:rPr>
            </w:pPr>
            <w:r>
              <w:rPr>
                <w:rFonts w:ascii="宋体" w:hAnsi="宋体" w:eastAsia="宋体" w:cs="宋体"/>
                <w:sz w:val="24"/>
              </w:rPr>
              <w:t>60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w:t>
            </w:r>
            <w:r>
              <w:rPr>
                <w:rFonts w:ascii="宋体" w:hAnsi="宋体" w:eastAsia="宋体" w:cs="宋体"/>
                <w:sz w:val="24"/>
              </w:rPr>
              <w:t>6</w:t>
            </w:r>
            <w:r>
              <w:rPr>
                <w:rFonts w:hint="eastAsia" w:ascii="宋体" w:hAnsi="宋体" w:eastAsia="宋体" w:cs="宋体"/>
                <w:sz w:val="24"/>
              </w:rPr>
              <w:t xml:space="preserve"> 贷款价值比在</w:t>
            </w:r>
            <w:r>
              <w:rPr>
                <w:rFonts w:ascii="宋体" w:hAnsi="宋体" w:eastAsia="宋体" w:cs="宋体"/>
                <w:sz w:val="24"/>
              </w:rPr>
              <w:t>9</w:t>
            </w:r>
            <w:r>
              <w:rPr>
                <w:rFonts w:hint="eastAsia" w:ascii="宋体" w:hAnsi="宋体" w:eastAsia="宋体" w:cs="宋体"/>
                <w:sz w:val="24"/>
              </w:rPr>
              <w:t>0%至</w:t>
            </w:r>
            <w:r>
              <w:rPr>
                <w:rFonts w:ascii="宋体" w:hAnsi="宋体" w:eastAsia="宋体" w:cs="宋体"/>
                <w:sz w:val="24"/>
              </w:rPr>
              <w:t>10</w:t>
            </w:r>
            <w:r>
              <w:rPr>
                <w:rFonts w:hint="eastAsia" w:ascii="宋体" w:hAnsi="宋体" w:eastAsia="宋体" w:cs="宋体"/>
                <w:sz w:val="24"/>
              </w:rPr>
              <w:t>0%（含）</w:t>
            </w:r>
          </w:p>
        </w:tc>
        <w:tc>
          <w:tcPr>
            <w:tcW w:w="1635" w:type="dxa"/>
            <w:vAlign w:val="center"/>
          </w:tcPr>
          <w:p>
            <w:pPr>
              <w:jc w:val="center"/>
              <w:rPr>
                <w:rFonts w:ascii="宋体" w:hAnsi="宋体" w:eastAsia="宋体" w:cs="宋体"/>
                <w:sz w:val="24"/>
              </w:rPr>
            </w:pPr>
            <w:r>
              <w:rPr>
                <w:rFonts w:hint="eastAsia" w:ascii="宋体" w:hAnsi="宋体" w:eastAsia="宋体" w:cs="宋体"/>
                <w:sz w:val="24"/>
              </w:rPr>
              <w:t>7</w:t>
            </w:r>
            <w:r>
              <w:rPr>
                <w:rFonts w:ascii="宋体" w:hAnsi="宋体" w:eastAsia="宋体"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11.2.1.</w:t>
            </w:r>
            <w:r>
              <w:rPr>
                <w:rFonts w:ascii="宋体" w:hAnsi="宋体" w:eastAsia="宋体" w:cs="宋体"/>
                <w:sz w:val="24"/>
              </w:rPr>
              <w:t>7</w:t>
            </w:r>
            <w:r>
              <w:rPr>
                <w:rFonts w:hint="eastAsia" w:ascii="宋体" w:hAnsi="宋体" w:eastAsia="宋体" w:cs="宋体"/>
                <w:sz w:val="24"/>
              </w:rPr>
              <w:t>贷款价值比在</w:t>
            </w:r>
            <w:r>
              <w:rPr>
                <w:rFonts w:ascii="宋体" w:hAnsi="宋体" w:eastAsia="宋体" w:cs="宋体"/>
                <w:sz w:val="24"/>
              </w:rPr>
              <w:t>10</w:t>
            </w:r>
            <w:r>
              <w:rPr>
                <w:rFonts w:hint="eastAsia" w:ascii="宋体" w:hAnsi="宋体" w:eastAsia="宋体" w:cs="宋体"/>
                <w:sz w:val="24"/>
              </w:rPr>
              <w:t>0%（不含）以上</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11.2.2对不符合审慎要求的居住用房地产风险暴露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11.3对向个人发放的</w:t>
            </w:r>
            <w:r>
              <w:rPr>
                <w:rFonts w:hint="eastAsia" w:ascii="宋体" w:hAnsi="宋体" w:eastAsia="宋体" w:cs="宋体"/>
                <w:bCs/>
                <w:sz w:val="24"/>
              </w:rPr>
              <w:t>存在币种错配情形的</w:t>
            </w:r>
            <w:r>
              <w:rPr>
                <w:rFonts w:hint="eastAsia" w:ascii="宋体" w:hAnsi="宋体" w:eastAsia="宋体" w:cs="宋体"/>
                <w:sz w:val="24"/>
              </w:rPr>
              <w:t>居住用房地产风险暴露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min（无币种错配情形下风险权重的1.5倍,150%）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12.商用房地产风险暴露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sz w:val="24"/>
              </w:rPr>
              <w:t>12.1对还款不实质依赖于房地产所产生的现金流的商用房地产风险暴露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12.1.1对符合审慎要求的商用房地产风险暴露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12.1.1.1贷款价值比在60%（含）以下</w:t>
            </w:r>
          </w:p>
        </w:tc>
        <w:tc>
          <w:tcPr>
            <w:tcW w:w="1635" w:type="dxa"/>
            <w:vAlign w:val="center"/>
          </w:tcPr>
          <w:p>
            <w:pPr>
              <w:jc w:val="center"/>
              <w:rPr>
                <w:rFonts w:ascii="宋体" w:hAnsi="宋体" w:eastAsia="宋体" w:cs="宋体"/>
                <w:sz w:val="24"/>
              </w:rPr>
            </w:pPr>
            <w:r>
              <w:rPr>
                <w:rFonts w:hint="eastAsia" w:ascii="宋体" w:hAnsi="宋体" w:eastAsia="宋体" w:cs="宋体"/>
                <w:sz w:val="24"/>
              </w:rPr>
              <w:t>6</w:t>
            </w:r>
            <w:r>
              <w:rPr>
                <w:rFonts w:ascii="宋体" w:hAnsi="宋体" w:eastAsia="宋体" w:cs="宋体"/>
                <w:sz w:val="24"/>
              </w:rPr>
              <w:t>5</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12.1.1.2贷款价值比在60%（不含）以上</w:t>
            </w:r>
          </w:p>
        </w:tc>
        <w:tc>
          <w:tcPr>
            <w:tcW w:w="1635" w:type="dxa"/>
            <w:vAlign w:val="center"/>
          </w:tcPr>
          <w:p>
            <w:pPr>
              <w:jc w:val="center"/>
              <w:rPr>
                <w:rFonts w:ascii="宋体" w:hAnsi="宋体" w:eastAsia="宋体" w:cs="宋体"/>
                <w:sz w:val="24"/>
              </w:rPr>
            </w:pPr>
            <w:r>
              <w:rPr>
                <w:rFonts w:hint="eastAsia" w:ascii="宋体" w:hAnsi="宋体" w:eastAsia="宋体" w:cs="宋体"/>
                <w:sz w:val="24"/>
              </w:rPr>
              <w:t>交易对手风险权重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12.1.2对不符合审慎要求的商用房地产风险暴露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交易对手风险权重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12.2对还款实质依赖于房地产所产生的现金流的商用房地产风险暴露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12.2.1对符合审慎要求的商用房地产风险暴露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12.2.1.1贷款价值比在60%（含）以下</w:t>
            </w:r>
          </w:p>
        </w:tc>
        <w:tc>
          <w:tcPr>
            <w:tcW w:w="1635" w:type="dxa"/>
            <w:vAlign w:val="center"/>
          </w:tcPr>
          <w:p>
            <w:pPr>
              <w:jc w:val="center"/>
              <w:rPr>
                <w:rFonts w:ascii="宋体" w:hAnsi="宋体" w:eastAsia="宋体" w:cs="宋体"/>
                <w:sz w:val="24"/>
              </w:rPr>
            </w:pPr>
            <w:r>
              <w:rPr>
                <w:rFonts w:ascii="宋体" w:hAnsi="宋体" w:eastAsia="宋体" w:cs="宋体"/>
                <w:sz w:val="24"/>
              </w:rPr>
              <w:t>75</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12.2.1.2贷款价值比在60%至80%（含）</w:t>
            </w:r>
          </w:p>
        </w:tc>
        <w:tc>
          <w:tcPr>
            <w:tcW w:w="1635" w:type="dxa"/>
            <w:vAlign w:val="center"/>
          </w:tcPr>
          <w:p>
            <w:pPr>
              <w:jc w:val="center"/>
              <w:rPr>
                <w:rFonts w:ascii="宋体" w:hAnsi="宋体" w:eastAsia="宋体" w:cs="宋体"/>
                <w:sz w:val="24"/>
              </w:rPr>
            </w:pPr>
            <w:r>
              <w:rPr>
                <w:rFonts w:hint="eastAsia" w:ascii="宋体" w:hAnsi="宋体" w:eastAsia="宋体" w:cs="宋体"/>
                <w:sz w:val="24"/>
              </w:rPr>
              <w:t>max(90%，交易对手风险权重)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12.2.1.3贷款价值比在80%（不含）以上</w:t>
            </w:r>
          </w:p>
        </w:tc>
        <w:tc>
          <w:tcPr>
            <w:tcW w:w="1635" w:type="dxa"/>
            <w:vAlign w:val="center"/>
          </w:tcPr>
          <w:p>
            <w:pPr>
              <w:jc w:val="center"/>
              <w:rPr>
                <w:rFonts w:ascii="宋体" w:hAnsi="宋体" w:eastAsia="宋体" w:cs="宋体"/>
                <w:sz w:val="24"/>
              </w:rPr>
            </w:pPr>
            <w:r>
              <w:rPr>
                <w:rFonts w:hint="eastAsia" w:ascii="宋体" w:hAnsi="宋体" w:eastAsia="宋体" w:cs="宋体"/>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12.2.2对不符合审慎要求的商用房地产风险暴露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13.商业银行持有的不动产</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
                <w:bCs/>
                <w:sz w:val="24"/>
              </w:rPr>
            </w:pPr>
            <w:r>
              <w:rPr>
                <w:rFonts w:hint="eastAsia" w:ascii="宋体" w:hAnsi="宋体" w:eastAsia="宋体" w:cs="宋体"/>
                <w:bCs/>
                <w:sz w:val="24"/>
              </w:rPr>
              <w:t>13.1</w:t>
            </w:r>
            <w:r>
              <w:rPr>
                <w:rFonts w:hint="eastAsia" w:ascii="宋体" w:hAnsi="宋体" w:eastAsia="宋体" w:cs="宋体"/>
                <w:bCs/>
                <w:sz w:val="24"/>
                <w:lang w:val="zh-TW"/>
              </w:rPr>
              <w:t>商业银行自用不动产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13.2</w:t>
            </w:r>
            <w:r>
              <w:rPr>
                <w:rFonts w:hint="eastAsia" w:ascii="宋体" w:hAnsi="宋体" w:eastAsia="宋体" w:cs="宋体"/>
                <w:bCs/>
                <w:sz w:val="24"/>
                <w:lang w:val="zh-TW"/>
              </w:rPr>
              <w:t>商业银行非自用不动产</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13.2.1因行使抵押权等方式而持有并在法律规定处分期限内的非自用不动产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13.2.2其他非自用不动产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14.租赁资产余值</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15.股权</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15.1</w:t>
            </w:r>
            <w:r>
              <w:rPr>
                <w:rFonts w:hint="eastAsia" w:ascii="宋体" w:hAnsi="宋体" w:eastAsia="宋体" w:cs="宋体"/>
                <w:bCs/>
                <w:sz w:val="24"/>
                <w:lang w:val="zh-TW"/>
              </w:rPr>
              <w:t>对</w:t>
            </w:r>
            <w:r>
              <w:rPr>
                <w:rFonts w:hint="eastAsia" w:ascii="宋体" w:hAnsi="宋体" w:eastAsia="宋体" w:cs="宋体"/>
                <w:bCs/>
                <w:sz w:val="24"/>
              </w:rPr>
              <w:t>金融机构的股权投资（未扣除部分）</w:t>
            </w:r>
          </w:p>
        </w:tc>
        <w:tc>
          <w:tcPr>
            <w:tcW w:w="1635" w:type="dxa"/>
            <w:vAlign w:val="center"/>
          </w:tcPr>
          <w:p>
            <w:pPr>
              <w:jc w:val="center"/>
              <w:rPr>
                <w:rFonts w:ascii="宋体" w:hAnsi="宋体" w:eastAsia="宋体" w:cs="宋体"/>
                <w:sz w:val="24"/>
              </w:rPr>
            </w:pPr>
            <w:r>
              <w:rPr>
                <w:rFonts w:hint="eastAsia" w:ascii="宋体" w:hAnsi="宋体" w:eastAsia="宋体" w:cs="宋体"/>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15.2被动持有的对工商企业股权投资在法律规定处分期限内的</w:t>
            </w:r>
          </w:p>
        </w:tc>
        <w:tc>
          <w:tcPr>
            <w:tcW w:w="1635" w:type="dxa"/>
            <w:vAlign w:val="center"/>
          </w:tcPr>
          <w:p>
            <w:pPr>
              <w:jc w:val="center"/>
              <w:rPr>
                <w:rFonts w:ascii="宋体" w:hAnsi="宋体" w:eastAsia="宋体" w:cs="宋体"/>
                <w:sz w:val="24"/>
              </w:rPr>
            </w:pPr>
            <w:r>
              <w:rPr>
                <w:rFonts w:ascii="宋体" w:hAnsi="宋体" w:eastAsia="宋体" w:cs="宋体"/>
                <w:sz w:val="24"/>
              </w:rPr>
              <w:t>25</w:t>
            </w: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15.3对因市场化债转股持有的工商企业股权投资</w:t>
            </w:r>
          </w:p>
        </w:tc>
        <w:tc>
          <w:tcPr>
            <w:tcW w:w="1635" w:type="dxa"/>
            <w:vAlign w:val="center"/>
          </w:tcPr>
          <w:p>
            <w:pPr>
              <w:jc w:val="center"/>
              <w:rPr>
                <w:rFonts w:ascii="宋体" w:hAnsi="宋体" w:eastAsia="宋体" w:cs="宋体"/>
                <w:sz w:val="24"/>
              </w:rPr>
            </w:pPr>
            <w:r>
              <w:rPr>
                <w:rFonts w:ascii="宋体" w:hAnsi="宋体" w:eastAsia="宋体" w:cs="宋体"/>
                <w:sz w:val="24"/>
              </w:rPr>
              <w:t>25</w:t>
            </w: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Cs/>
                <w:sz w:val="24"/>
              </w:rPr>
            </w:pPr>
            <w:r>
              <w:rPr>
                <w:rFonts w:hint="eastAsia" w:ascii="宋体" w:hAnsi="宋体" w:eastAsia="宋体" w:cs="宋体"/>
                <w:bCs/>
                <w:sz w:val="24"/>
              </w:rPr>
              <w:t>15.4对获得国家重大补贴并受到政府监督的股权投资</w:t>
            </w:r>
          </w:p>
        </w:tc>
        <w:tc>
          <w:tcPr>
            <w:tcW w:w="1635" w:type="dxa"/>
            <w:vAlign w:val="center"/>
          </w:tcPr>
          <w:p>
            <w:pPr>
              <w:jc w:val="center"/>
              <w:rPr>
                <w:rFonts w:ascii="宋体" w:hAnsi="宋体" w:eastAsia="宋体" w:cs="宋体"/>
                <w:sz w:val="24"/>
              </w:rPr>
            </w:pPr>
            <w:r>
              <w:rPr>
                <w:rFonts w:ascii="宋体" w:hAnsi="宋体" w:eastAsia="宋体" w:cs="宋体"/>
                <w:sz w:val="24"/>
              </w:rPr>
              <w:t>25</w:t>
            </w: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Cs/>
                <w:sz w:val="24"/>
              </w:rPr>
            </w:pPr>
            <w:r>
              <w:rPr>
                <w:rFonts w:hint="eastAsia" w:ascii="宋体" w:hAnsi="宋体" w:eastAsia="宋体" w:cs="宋体"/>
                <w:bCs/>
                <w:sz w:val="24"/>
              </w:rPr>
              <w:t>15.5对工商企业的其他</w:t>
            </w:r>
            <w:r>
              <w:rPr>
                <w:rFonts w:hint="eastAsia" w:ascii="宋体" w:hAnsi="宋体" w:eastAsia="宋体" w:cs="宋体"/>
                <w:bCs/>
                <w:sz w:val="24"/>
                <w:lang w:val="zh-TW"/>
              </w:rPr>
              <w:t>股权投资</w:t>
            </w:r>
          </w:p>
        </w:tc>
        <w:tc>
          <w:tcPr>
            <w:tcW w:w="1635" w:type="dxa"/>
            <w:vAlign w:val="center"/>
          </w:tcPr>
          <w:p>
            <w:pPr>
              <w:jc w:val="center"/>
              <w:rPr>
                <w:rFonts w:ascii="宋体" w:hAnsi="宋体" w:eastAsia="宋体" w:cs="宋体"/>
                <w:sz w:val="24"/>
              </w:rPr>
            </w:pPr>
            <w:r>
              <w:rPr>
                <w:rFonts w:ascii="宋体" w:hAnsi="宋体" w:eastAsia="宋体" w:cs="宋体"/>
                <w:sz w:val="24"/>
              </w:rPr>
              <w:t>1250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sz w:val="24"/>
              </w:rPr>
              <w:t>16.对次级债权（未扣除部分）</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16.1</w:t>
            </w:r>
            <w:r>
              <w:rPr>
                <w:rFonts w:hint="eastAsia" w:ascii="宋体" w:hAnsi="宋体" w:eastAsia="宋体" w:cs="宋体"/>
                <w:bCs/>
                <w:sz w:val="24"/>
                <w:lang w:val="zh-TW"/>
              </w:rPr>
              <w:t>对我国开发性金融机构和政策性银行的次级债权（未扣除部分）</w:t>
            </w:r>
          </w:p>
        </w:tc>
        <w:tc>
          <w:tcPr>
            <w:tcW w:w="1635" w:type="dxa"/>
            <w:vAlign w:val="center"/>
          </w:tcPr>
          <w:p>
            <w:pPr>
              <w:jc w:val="center"/>
              <w:rPr>
                <w:rFonts w:ascii="宋体" w:hAnsi="宋体" w:eastAsia="宋体" w:cs="宋体"/>
                <w:sz w:val="24"/>
              </w:rPr>
            </w:pPr>
            <w:r>
              <w:rPr>
                <w:rFonts w:ascii="宋体" w:hAnsi="宋体" w:eastAsia="宋体" w:cs="宋体"/>
                <w:sz w:val="24"/>
              </w:rPr>
              <w:t>100</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16.2</w:t>
            </w:r>
            <w:r>
              <w:rPr>
                <w:rFonts w:hint="eastAsia" w:ascii="宋体" w:hAnsi="宋体" w:eastAsia="宋体" w:cs="宋体"/>
                <w:bCs/>
                <w:sz w:val="24"/>
                <w:lang w:val="zh-TW"/>
              </w:rPr>
              <w:t>对我国商业银行的次级债权（未扣除部分）</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Cs/>
                <w:sz w:val="24"/>
              </w:rPr>
              <w:t>16.</w:t>
            </w:r>
            <w:r>
              <w:rPr>
                <w:rFonts w:ascii="宋体" w:hAnsi="宋体" w:eastAsia="宋体" w:cs="宋体"/>
                <w:bCs/>
                <w:sz w:val="24"/>
              </w:rPr>
              <w:t>3</w:t>
            </w:r>
            <w:r>
              <w:rPr>
                <w:rFonts w:hint="eastAsia" w:ascii="宋体" w:hAnsi="宋体" w:eastAsia="宋体" w:cs="宋体"/>
                <w:bCs/>
                <w:sz w:val="24"/>
                <w:lang w:val="zh-TW"/>
              </w:rPr>
              <w:t>对我国其他金融机构的次级债权（未扣除部分）</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16.</w:t>
            </w:r>
            <w:r>
              <w:rPr>
                <w:rFonts w:ascii="宋体" w:hAnsi="宋体" w:eastAsia="宋体" w:cs="宋体"/>
                <w:sz w:val="24"/>
              </w:rPr>
              <w:t>4</w:t>
            </w:r>
            <w:r>
              <w:rPr>
                <w:rFonts w:hint="eastAsia" w:ascii="宋体" w:hAnsi="宋体" w:eastAsia="宋体" w:cs="宋体"/>
                <w:sz w:val="24"/>
              </w:rPr>
              <w:t>对全球系统重要性银行发行的外部总损失吸收能力（TLAC）非资本债务工具</w:t>
            </w:r>
            <w:r>
              <w:rPr>
                <w:rFonts w:hint="eastAsia" w:ascii="宋体" w:hAnsi="宋体" w:eastAsia="宋体" w:cs="宋体"/>
                <w:bCs/>
                <w:sz w:val="24"/>
                <w:lang w:val="zh-TW"/>
              </w:rPr>
              <w:t>（未扣除部分）</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bCs/>
                <w:sz w:val="24"/>
              </w:rPr>
            </w:pPr>
            <w:r>
              <w:rPr>
                <w:rFonts w:hint="eastAsia" w:ascii="宋体" w:hAnsi="宋体" w:eastAsia="宋体" w:cs="宋体"/>
                <w:b/>
                <w:sz w:val="24"/>
              </w:rPr>
              <w:t>17.对合格资产担保债券</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17.1对</w:t>
            </w:r>
            <w:r>
              <w:rPr>
                <w:rFonts w:hint="eastAsia" w:ascii="宋体" w:hAnsi="宋体" w:eastAsia="宋体" w:cs="宋体"/>
                <w:color w:val="000000"/>
                <w:sz w:val="24"/>
              </w:rPr>
              <w:t>具有外部信用评级的</w:t>
            </w:r>
            <w:r>
              <w:rPr>
                <w:rFonts w:hint="eastAsia" w:ascii="宋体" w:hAnsi="宋体" w:eastAsia="宋体" w:cs="宋体"/>
                <w:sz w:val="24"/>
              </w:rPr>
              <w:t>债券</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17.1.1评级为AA-（含）以上</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17.1.2评级为AA-以下，BBB-（含）以上</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17.1.3评级为BBB-以下，B-（含）以上</w:t>
            </w:r>
          </w:p>
        </w:tc>
        <w:tc>
          <w:tcPr>
            <w:tcW w:w="1635"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17.1.4评级为B-以下</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17.2对不具有外部信用评级的债券</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17.2.1</w:t>
            </w:r>
            <w:r>
              <w:rPr>
                <w:rFonts w:hint="eastAsia" w:ascii="宋体" w:hAnsi="宋体" w:eastAsia="宋体" w:cs="宋体"/>
                <w:color w:val="000000"/>
                <w:sz w:val="24"/>
              </w:rPr>
              <w:t>债券发行银行的标准信用风险评估结果为A+级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17.2.2债券发行银行</w:t>
            </w:r>
            <w:r>
              <w:rPr>
                <w:rFonts w:hint="eastAsia" w:ascii="宋体" w:hAnsi="宋体" w:eastAsia="宋体" w:cs="宋体"/>
                <w:color w:val="000000"/>
                <w:sz w:val="24"/>
              </w:rPr>
              <w:t>的标准信用风险评估结果</w:t>
            </w:r>
            <w:r>
              <w:rPr>
                <w:rFonts w:hint="eastAsia" w:ascii="宋体" w:hAnsi="宋体" w:eastAsia="宋体" w:cs="宋体"/>
                <w:sz w:val="24"/>
              </w:rPr>
              <w:t>为A级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17.2.3债券发行银行</w:t>
            </w:r>
            <w:r>
              <w:rPr>
                <w:rFonts w:hint="eastAsia" w:ascii="宋体" w:hAnsi="宋体" w:eastAsia="宋体" w:cs="宋体"/>
                <w:color w:val="000000"/>
                <w:sz w:val="24"/>
              </w:rPr>
              <w:t>的标准信用风险评估结果</w:t>
            </w:r>
            <w:r>
              <w:rPr>
                <w:rFonts w:hint="eastAsia" w:ascii="宋体" w:hAnsi="宋体" w:eastAsia="宋体" w:cs="宋体"/>
                <w:sz w:val="24"/>
              </w:rPr>
              <w:t>为B级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17.2.4债券发行银行</w:t>
            </w:r>
            <w:r>
              <w:rPr>
                <w:rFonts w:hint="eastAsia" w:ascii="宋体" w:hAnsi="宋体" w:eastAsia="宋体" w:cs="宋体"/>
                <w:color w:val="000000"/>
                <w:sz w:val="24"/>
              </w:rPr>
              <w:t>的标准信用风险评估结果</w:t>
            </w:r>
            <w:r>
              <w:rPr>
                <w:rFonts w:hint="eastAsia" w:ascii="宋体" w:hAnsi="宋体" w:eastAsia="宋体" w:cs="宋体"/>
                <w:sz w:val="24"/>
              </w:rPr>
              <w:t>为C级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sz w:val="24"/>
              </w:rPr>
              <w:t>18.已违约风险暴露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18.1对以居住用房为抵押、还款不实质性依赖于房地产所产生的现金流的已违约风险暴露</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18.2对其他已违约风险暴露</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18.2.1损失准备低于资产账面价值的20%</w:t>
            </w:r>
          </w:p>
        </w:tc>
        <w:tc>
          <w:tcPr>
            <w:tcW w:w="1635" w:type="dxa"/>
            <w:vAlign w:val="center"/>
          </w:tcPr>
          <w:p>
            <w:pPr>
              <w:jc w:val="center"/>
              <w:rPr>
                <w:rFonts w:ascii="宋体" w:hAnsi="宋体" w:eastAsia="宋体" w:cs="宋体"/>
                <w:sz w:val="24"/>
              </w:rPr>
            </w:pPr>
            <w:r>
              <w:rPr>
                <w:rFonts w:hint="eastAsia" w:ascii="宋体" w:hAnsi="宋体" w:eastAsia="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18.2.2损失准备不低于资产账面价值的20%</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b/>
                <w:bCs/>
                <w:sz w:val="24"/>
              </w:rPr>
              <w:t>19.其他</w:t>
            </w:r>
          </w:p>
        </w:tc>
        <w:tc>
          <w:tcPr>
            <w:tcW w:w="16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19.1依赖于银行未来盈利的净递延税资产（未扣除部分）</w:t>
            </w:r>
          </w:p>
        </w:tc>
        <w:tc>
          <w:tcPr>
            <w:tcW w:w="1635" w:type="dxa"/>
            <w:vAlign w:val="center"/>
          </w:tcPr>
          <w:p>
            <w:pPr>
              <w:jc w:val="center"/>
              <w:rPr>
                <w:rFonts w:ascii="宋体" w:hAnsi="宋体" w:eastAsia="宋体" w:cs="宋体"/>
                <w:sz w:val="24"/>
              </w:rPr>
            </w:pPr>
            <w:r>
              <w:rPr>
                <w:rFonts w:hint="eastAsia" w:ascii="宋体" w:hAnsi="宋体" w:eastAsia="宋体" w:cs="宋体"/>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1" w:type="dxa"/>
            <w:vAlign w:val="center"/>
          </w:tcPr>
          <w:p>
            <w:pPr>
              <w:rPr>
                <w:rFonts w:ascii="宋体" w:hAnsi="宋体" w:eastAsia="宋体" w:cs="宋体"/>
                <w:sz w:val="24"/>
              </w:rPr>
            </w:pPr>
            <w:r>
              <w:rPr>
                <w:rFonts w:hint="eastAsia" w:ascii="宋体" w:hAnsi="宋体" w:eastAsia="宋体" w:cs="宋体"/>
                <w:sz w:val="24"/>
              </w:rPr>
              <w:t>19.2其他表内资产</w:t>
            </w:r>
          </w:p>
        </w:tc>
        <w:tc>
          <w:tcPr>
            <w:tcW w:w="1635" w:type="dxa"/>
            <w:vAlign w:val="center"/>
          </w:tcPr>
          <w:p>
            <w:pPr>
              <w:jc w:val="center"/>
              <w:rPr>
                <w:rFonts w:ascii="宋体" w:hAnsi="宋体" w:eastAsia="宋体" w:cs="宋体"/>
                <w:sz w:val="24"/>
              </w:rPr>
            </w:pPr>
            <w:r>
              <w:rPr>
                <w:rFonts w:hint="eastAsia" w:ascii="宋体" w:hAnsi="宋体" w:eastAsia="宋体" w:cs="宋体"/>
                <w:sz w:val="24"/>
              </w:rPr>
              <w:t>100%</w:t>
            </w:r>
          </w:p>
        </w:tc>
      </w:tr>
    </w:tbl>
    <w:p>
      <w:pPr>
        <w:pStyle w:val="2"/>
      </w:pPr>
      <w:r>
        <w:rPr>
          <w:rFonts w:hint="eastAsia"/>
        </w:rPr>
        <w:t>二、表外项目信用转换系数</w:t>
      </w:r>
    </w:p>
    <w:p>
      <w:pPr>
        <w:jc w:val="center"/>
        <w:rPr>
          <w:rFonts w:ascii="楷体_GB2312" w:hAnsi="Times New Roman" w:eastAsia="楷体_GB2312" w:cs="Times New Roman"/>
          <w:b/>
          <w:sz w:val="28"/>
          <w:szCs w:val="28"/>
        </w:rPr>
      </w:pPr>
      <w:r>
        <w:rPr>
          <w:rFonts w:hint="eastAsia" w:ascii="楷体_GB2312" w:hAnsi="Times New Roman" w:eastAsia="楷体_GB2312" w:cs="Times New Roman"/>
          <w:b/>
          <w:sz w:val="28"/>
          <w:szCs w:val="28"/>
        </w:rPr>
        <w:t>表2 表外项目信用转换系数表</w:t>
      </w:r>
    </w:p>
    <w:tbl>
      <w:tblPr>
        <w:tblStyle w:val="12"/>
        <w:tblW w:w="8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8"/>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98" w:type="dxa"/>
            <w:vAlign w:val="center"/>
          </w:tcPr>
          <w:p>
            <w:pPr>
              <w:jc w:val="center"/>
              <w:rPr>
                <w:rFonts w:ascii="宋体" w:hAnsi="宋体" w:eastAsia="宋体" w:cs="宋体"/>
                <w:sz w:val="24"/>
              </w:rPr>
            </w:pPr>
            <w:r>
              <w:rPr>
                <w:rFonts w:hint="eastAsia" w:ascii="宋体" w:hAnsi="宋体" w:eastAsia="宋体" w:cs="宋体"/>
                <w:bCs/>
                <w:sz w:val="24"/>
              </w:rPr>
              <w:t>项目</w:t>
            </w:r>
          </w:p>
        </w:tc>
        <w:tc>
          <w:tcPr>
            <w:tcW w:w="1913" w:type="dxa"/>
            <w:vAlign w:val="center"/>
          </w:tcPr>
          <w:p>
            <w:pPr>
              <w:jc w:val="center"/>
              <w:rPr>
                <w:rFonts w:ascii="宋体" w:hAnsi="宋体" w:eastAsia="宋体" w:cs="宋体"/>
                <w:sz w:val="24"/>
              </w:rPr>
            </w:pPr>
            <w:r>
              <w:rPr>
                <w:rFonts w:hint="eastAsia" w:ascii="宋体" w:hAnsi="宋体" w:eastAsia="宋体" w:cs="宋体"/>
                <w:bCs/>
                <w:sz w:val="24"/>
              </w:rPr>
              <w:t>信用转换系数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1.等同于贷款的授信业务</w:t>
            </w:r>
          </w:p>
        </w:tc>
        <w:tc>
          <w:tcPr>
            <w:tcW w:w="1913"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2.承诺</w:t>
            </w:r>
          </w:p>
        </w:tc>
        <w:tc>
          <w:tcPr>
            <w:tcW w:w="1913"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8" w:type="dxa"/>
            <w:vAlign w:val="center"/>
          </w:tcPr>
          <w:p>
            <w:pPr>
              <w:rPr>
                <w:rFonts w:ascii="宋体" w:hAnsi="宋体" w:eastAsia="宋体" w:cs="宋体"/>
                <w:sz w:val="24"/>
              </w:rPr>
            </w:pPr>
            <w:r>
              <w:rPr>
                <w:rFonts w:hint="eastAsia" w:ascii="宋体" w:hAnsi="宋体" w:eastAsia="宋体" w:cs="宋体"/>
                <w:sz w:val="24"/>
              </w:rPr>
              <w:t>2.1可随时无条件撤销的贷款承诺</w:t>
            </w:r>
          </w:p>
        </w:tc>
        <w:tc>
          <w:tcPr>
            <w:tcW w:w="1913" w:type="dxa"/>
            <w:vAlign w:val="center"/>
          </w:tcPr>
          <w:p>
            <w:pPr>
              <w:jc w:val="center"/>
              <w:rPr>
                <w:rFonts w:ascii="宋体" w:hAnsi="宋体" w:eastAsia="宋体" w:cs="宋体"/>
                <w:sz w:val="24"/>
              </w:rPr>
            </w:pPr>
            <w:r>
              <w:rPr>
                <w:rFonts w:hint="eastAsia" w:ascii="宋体" w:hAnsi="宋体" w:eastAsia="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2.2其他贷款承诺</w:t>
            </w:r>
          </w:p>
        </w:tc>
        <w:tc>
          <w:tcPr>
            <w:tcW w:w="1913" w:type="dxa"/>
            <w:vAlign w:val="center"/>
          </w:tcPr>
          <w:p>
            <w:pPr>
              <w:jc w:val="center"/>
              <w:rPr>
                <w:rFonts w:ascii="宋体" w:hAnsi="宋体" w:eastAsia="宋体" w:cs="宋体"/>
                <w:sz w:val="24"/>
              </w:rPr>
            </w:pPr>
            <w:r>
              <w:rPr>
                <w:rFonts w:hint="eastAsia" w:ascii="宋体" w:hAnsi="宋体" w:eastAsia="宋体"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2.3未使用的信用卡授信额度</w:t>
            </w:r>
          </w:p>
        </w:tc>
        <w:tc>
          <w:tcPr>
            <w:tcW w:w="1913"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2.3.1一般未使用额度</w:t>
            </w:r>
          </w:p>
        </w:tc>
        <w:tc>
          <w:tcPr>
            <w:tcW w:w="1913" w:type="dxa"/>
            <w:vAlign w:val="center"/>
          </w:tcPr>
          <w:p>
            <w:pPr>
              <w:jc w:val="center"/>
              <w:rPr>
                <w:rFonts w:ascii="宋体" w:hAnsi="宋体" w:eastAsia="宋体" w:cs="宋体"/>
                <w:sz w:val="24"/>
              </w:rPr>
            </w:pPr>
            <w:r>
              <w:rPr>
                <w:rFonts w:hint="eastAsia" w:ascii="宋体" w:hAnsi="宋体" w:eastAsia="宋体"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2.3.2符合标准的未使用额度</w:t>
            </w:r>
          </w:p>
        </w:tc>
        <w:tc>
          <w:tcPr>
            <w:tcW w:w="1913"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2.4票据发行便利</w:t>
            </w:r>
          </w:p>
        </w:tc>
        <w:tc>
          <w:tcPr>
            <w:tcW w:w="1913"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2.5循环认购便利</w:t>
            </w:r>
          </w:p>
        </w:tc>
        <w:tc>
          <w:tcPr>
            <w:tcW w:w="1913"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498" w:type="dxa"/>
            <w:vAlign w:val="center"/>
          </w:tcPr>
          <w:p>
            <w:pPr>
              <w:rPr>
                <w:rFonts w:ascii="宋体" w:hAnsi="宋体" w:eastAsia="宋体" w:cs="宋体"/>
                <w:sz w:val="24"/>
              </w:rPr>
            </w:pPr>
            <w:r>
              <w:rPr>
                <w:rFonts w:hint="eastAsia" w:ascii="宋体" w:hAnsi="宋体" w:eastAsia="宋体" w:cs="宋体"/>
                <w:sz w:val="24"/>
              </w:rPr>
              <w:t>2.6其他承诺</w:t>
            </w:r>
          </w:p>
        </w:tc>
        <w:tc>
          <w:tcPr>
            <w:tcW w:w="1913" w:type="dxa"/>
            <w:vAlign w:val="center"/>
          </w:tcPr>
          <w:p>
            <w:pPr>
              <w:jc w:val="center"/>
              <w:rPr>
                <w:rFonts w:ascii="宋体" w:hAnsi="宋体" w:eastAsia="宋体" w:cs="宋体"/>
                <w:sz w:val="24"/>
              </w:rPr>
            </w:pPr>
            <w:r>
              <w:rPr>
                <w:rFonts w:hint="eastAsia" w:ascii="宋体" w:hAnsi="宋体" w:eastAsia="宋体"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3.银行借出的证券或用作抵押物的证券</w:t>
            </w:r>
          </w:p>
        </w:tc>
        <w:tc>
          <w:tcPr>
            <w:tcW w:w="1913"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4.与贸易直接相关的短期或有项目</w:t>
            </w:r>
          </w:p>
        </w:tc>
        <w:tc>
          <w:tcPr>
            <w:tcW w:w="1913"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4.1 基于服务贸易的国内信用证</w:t>
            </w:r>
          </w:p>
        </w:tc>
        <w:tc>
          <w:tcPr>
            <w:tcW w:w="1913" w:type="dxa"/>
            <w:vAlign w:val="center"/>
          </w:tcPr>
          <w:p>
            <w:pPr>
              <w:jc w:val="center"/>
              <w:rPr>
                <w:rFonts w:ascii="宋体" w:hAnsi="宋体" w:eastAsia="宋体" w:cs="宋体"/>
                <w:sz w:val="24"/>
              </w:rPr>
            </w:pPr>
            <w:r>
              <w:rPr>
                <w:rFonts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4.2 其他与贸易直接相关的短期或有项目</w:t>
            </w:r>
          </w:p>
        </w:tc>
        <w:tc>
          <w:tcPr>
            <w:tcW w:w="1913" w:type="dxa"/>
            <w:vAlign w:val="center"/>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5.与交易直接相关的或有项目</w:t>
            </w:r>
          </w:p>
        </w:tc>
        <w:tc>
          <w:tcPr>
            <w:tcW w:w="1913"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6.信用风险仍在银行的资产销售与购买协议</w:t>
            </w:r>
          </w:p>
        </w:tc>
        <w:tc>
          <w:tcPr>
            <w:tcW w:w="1913"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7.远期资产购买、远期定期存款、部分交款的股票及证券</w:t>
            </w:r>
          </w:p>
        </w:tc>
        <w:tc>
          <w:tcPr>
            <w:tcW w:w="1913" w:type="dxa"/>
            <w:vAlign w:val="center"/>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8" w:type="dxa"/>
            <w:vAlign w:val="center"/>
          </w:tcPr>
          <w:p>
            <w:pPr>
              <w:rPr>
                <w:rFonts w:ascii="宋体" w:hAnsi="宋体" w:eastAsia="宋体" w:cs="宋体"/>
                <w:sz w:val="24"/>
              </w:rPr>
            </w:pPr>
            <w:r>
              <w:rPr>
                <w:rFonts w:hint="eastAsia" w:ascii="宋体" w:hAnsi="宋体" w:eastAsia="宋体" w:cs="宋体"/>
                <w:sz w:val="24"/>
              </w:rPr>
              <w:t>8.其他表外项目</w:t>
            </w:r>
          </w:p>
        </w:tc>
        <w:tc>
          <w:tcPr>
            <w:tcW w:w="1913" w:type="dxa"/>
            <w:vAlign w:val="center"/>
          </w:tcPr>
          <w:p>
            <w:pPr>
              <w:jc w:val="center"/>
              <w:rPr>
                <w:rFonts w:ascii="宋体" w:hAnsi="宋体" w:eastAsia="宋体" w:cs="宋体"/>
                <w:sz w:val="24"/>
              </w:rPr>
            </w:pPr>
            <w:r>
              <w:rPr>
                <w:rFonts w:hint="eastAsia" w:ascii="宋体" w:hAnsi="宋体" w:eastAsia="宋体" w:cs="宋体"/>
                <w:sz w:val="24"/>
              </w:rPr>
              <w:t>100%</w:t>
            </w:r>
          </w:p>
        </w:tc>
      </w:tr>
    </w:tbl>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（一）等同于贷款的授信业务，包括一般负债担保、承兑汇票、具有承兑性质的背书及融资性保函等。</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二）可随时无条件撤销的贷款承诺是指商业银行在协议中列明，无需事先通知、有权随时撤销，或由于借款人的信用状况恶化，可以有效自动撤销的贷款承诺。商业银行应证明其能够积极监控借款人的财务状况，并且其内控系统足以保证在借款人信用状况恶化时能够撤销贷款承诺。</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（三）同时满足以下条件的可随时无条件撤销贷款承诺可免于计量表外项目风险加权资产：</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1.商业银行未就该贷款承诺收取任何费用。</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2.客户每次提款时均要向商业银行提出申请。</w:t>
      </w:r>
    </w:p>
    <w:p>
      <w:pPr>
        <w:spacing w:line="48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3</w:t>
      </w:r>
      <w:r>
        <w:rPr>
          <w:rFonts w:hint="eastAsia" w:ascii="仿宋_GB2312" w:hAnsi="Times New Roman" w:eastAsia="仿宋_GB2312" w:cs="Times New Roman"/>
          <w:sz w:val="30"/>
          <w:szCs w:val="30"/>
        </w:rPr>
        <w:t>.商业银行应对客户信用状况进行持续监测，客户每次提款前，商业银行都应对其最新信用状况进行审查，并有权利根据协议约定决定是否放款。</w:t>
      </w:r>
    </w:p>
    <w:p>
      <w:pPr>
        <w:spacing w:line="48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4</w:t>
      </w:r>
      <w:r>
        <w:rPr>
          <w:rFonts w:hint="eastAsia" w:ascii="仿宋_GB2312" w:hAnsi="Times New Roman" w:eastAsia="仿宋_GB2312" w:cs="Times New Roman"/>
          <w:sz w:val="30"/>
          <w:szCs w:val="30"/>
        </w:rPr>
        <w:t>.商业银行交易对手为符合本办法附件2公司风险暴露定义的主体。</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（四）与贸易直接相关的短期或有项目，主要指有优先索偿权的装运货物作抵押的跟单信用证。</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（五）与交易直接相关的或有项目，包括投标保函、履约保函、预付保函、预留金保函等。</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（六）信用风险仍在银行的资产销售与购买协议，包括资产回购协议和有追索权的资产销售。</w:t>
      </w:r>
    </w:p>
    <w:p>
      <w:pPr>
        <w:pStyle w:val="2"/>
      </w:pPr>
      <w:r>
        <w:rPr>
          <w:rFonts w:hint="eastAsia"/>
        </w:rPr>
        <w:t>三、证券、商品、外汇交易清算过程中形成的风险暴露</w:t>
      </w:r>
    </w:p>
    <w:p>
      <w:pPr>
        <w:spacing w:line="480" w:lineRule="exact"/>
        <w:ind w:firstLine="600" w:firstLineChars="200"/>
        <w:rPr>
          <w:rFonts w:ascii="楷体_GB2312" w:hAnsi="楷体_GB2312" w:eastAsia="楷体_GB2312" w:cs="楷体"/>
          <w:sz w:val="30"/>
          <w:szCs w:val="30"/>
        </w:rPr>
      </w:pPr>
      <w:r>
        <w:rPr>
          <w:rFonts w:hint="eastAsia" w:ascii="楷体_GB2312" w:hAnsi="楷体_GB2312" w:eastAsia="楷体_GB2312" w:cs="楷体"/>
          <w:sz w:val="30"/>
          <w:szCs w:val="30"/>
        </w:rPr>
        <w:t>（一）货款对付模式下的信用风险加权资产计算</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1.货款对付模式指在结算日，证券和资金、资金和资金进行实时同步、最终一致、不可撤销的交收。</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2.货款对付模式下信用风险加权资产为</w:t>
      </w:r>
    </w:p>
    <w:p>
      <w:pPr>
        <w:ind w:firstLine="300" w:firstLineChars="100"/>
      </w:pPr>
      <m:oMathPara>
        <m:oMath>
          <m:r>
            <m:rPr/>
            <w:rPr>
              <w:rFonts w:ascii="Cambria Math" w:hAnsi="Cambria Math" w:eastAsia="仿宋_GB2312" w:cs="Times New Roman"/>
              <w:sz w:val="30"/>
              <w:szCs w:val="30"/>
            </w:rPr>
            <m:t>RWA=E×R×12.5</m:t>
          </m:r>
        </m:oMath>
      </m:oMathPara>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其中：</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（1）RWA为货款对付模式下信用风险加权资产；</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（2）E为货款对付模式下，因合约结算价格与当期市场价格差异而产生的风险暴露；</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（3）R为与延迟交易时间相关的资本计提比例，具体见表3。</w:t>
      </w:r>
    </w:p>
    <w:p>
      <w:pPr>
        <w:jc w:val="center"/>
        <w:rPr>
          <w:rFonts w:ascii="楷体_GB2312" w:hAnsi="Times New Roman" w:eastAsia="楷体_GB2312" w:cs="Times New Roman"/>
          <w:b/>
          <w:sz w:val="28"/>
          <w:szCs w:val="28"/>
        </w:rPr>
      </w:pPr>
      <w:r>
        <w:rPr>
          <w:rFonts w:hint="eastAsia" w:ascii="楷体_GB2312" w:hAnsi="Times New Roman" w:eastAsia="楷体_GB2312" w:cs="Times New Roman"/>
          <w:b/>
          <w:sz w:val="28"/>
          <w:szCs w:val="28"/>
        </w:rPr>
        <w:t>表3 货款对付模式下交易对手信用风险资本计提比例</w:t>
      </w:r>
    </w:p>
    <w:tbl>
      <w:tblPr>
        <w:tblStyle w:val="12"/>
        <w:tblW w:w="8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1"/>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1" w:type="dxa"/>
            <w:vAlign w:val="center"/>
          </w:tcPr>
          <w:p>
            <w:pPr>
              <w:pStyle w:val="15"/>
              <w:spacing w:line="240" w:lineRule="atLeast"/>
              <w:jc w:val="center"/>
              <w:rPr>
                <w:rFonts w:ascii="宋体" w:hAnsi="宋体" w:cs="宋体"/>
                <w:kern w:val="2"/>
              </w:rPr>
            </w:pPr>
            <w:r>
              <w:rPr>
                <w:rFonts w:hint="eastAsia" w:ascii="宋体" w:hAnsi="宋体" w:cs="宋体"/>
                <w:kern w:val="2"/>
              </w:rPr>
              <w:t>自合约结算日起延迟交易的交易日数</w:t>
            </w:r>
          </w:p>
        </w:tc>
        <w:tc>
          <w:tcPr>
            <w:tcW w:w="1862" w:type="dxa"/>
            <w:vAlign w:val="center"/>
          </w:tcPr>
          <w:p>
            <w:pPr>
              <w:jc w:val="center"/>
              <w:rPr>
                <w:rFonts w:ascii="宋体" w:hAnsi="宋体" w:eastAsia="宋体" w:cs="宋体"/>
                <w:sz w:val="24"/>
              </w:rPr>
            </w:pPr>
            <w:r>
              <w:rPr>
                <w:rFonts w:hint="eastAsia" w:ascii="宋体" w:hAnsi="宋体" w:eastAsia="宋体" w:cs="宋体"/>
                <w:sz w:val="24"/>
              </w:rPr>
              <w:t>资本计提比例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1" w:type="dxa"/>
            <w:vAlign w:val="center"/>
          </w:tcPr>
          <w:p>
            <w:pPr>
              <w:rPr>
                <w:rFonts w:ascii="宋体" w:hAnsi="宋体" w:eastAsia="宋体" w:cs="宋体"/>
                <w:sz w:val="24"/>
              </w:rPr>
            </w:pPr>
            <w:r>
              <w:rPr>
                <w:rFonts w:hint="eastAsia" w:ascii="宋体" w:hAnsi="宋体" w:eastAsia="宋体" w:cs="Times New Roman"/>
                <w:sz w:val="24"/>
              </w:rPr>
              <w:t>4（含）个交易日以内</w:t>
            </w:r>
          </w:p>
        </w:tc>
        <w:tc>
          <w:tcPr>
            <w:tcW w:w="1862" w:type="dxa"/>
            <w:vAlign w:val="center"/>
          </w:tcPr>
          <w:p>
            <w:pPr>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1" w:type="dxa"/>
            <w:vAlign w:val="center"/>
          </w:tcPr>
          <w:p>
            <w:pPr>
              <w:rPr>
                <w:rFonts w:ascii="宋体" w:hAnsi="宋体" w:eastAsia="宋体" w:cs="宋体"/>
                <w:sz w:val="24"/>
              </w:rPr>
            </w:pPr>
            <w:r>
              <w:rPr>
                <w:rFonts w:hint="eastAsia" w:ascii="宋体" w:hAnsi="宋体" w:eastAsia="宋体" w:cs="宋体"/>
                <w:sz w:val="24"/>
              </w:rPr>
              <w:t>5至15（含）个交易日之间</w:t>
            </w:r>
          </w:p>
        </w:tc>
        <w:tc>
          <w:tcPr>
            <w:tcW w:w="1862" w:type="dxa"/>
            <w:vAlign w:val="center"/>
          </w:tcPr>
          <w:p>
            <w:pPr>
              <w:jc w:val="center"/>
              <w:rPr>
                <w:rFonts w:ascii="宋体" w:hAnsi="宋体" w:eastAsia="宋体" w:cs="宋体"/>
                <w:sz w:val="24"/>
              </w:rPr>
            </w:pPr>
            <w:r>
              <w:rPr>
                <w:rFonts w:hint="eastAsia" w:ascii="宋体" w:hAnsi="宋体" w:eastAsia="宋体" w:cs="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1" w:type="dxa"/>
            <w:vAlign w:val="center"/>
          </w:tcPr>
          <w:p>
            <w:pPr>
              <w:rPr>
                <w:rFonts w:ascii="宋体" w:hAnsi="宋体" w:eastAsia="宋体" w:cs="宋体"/>
                <w:sz w:val="24"/>
              </w:rPr>
            </w:pPr>
            <w:r>
              <w:rPr>
                <w:rFonts w:hint="eastAsia" w:ascii="宋体" w:hAnsi="宋体" w:eastAsia="宋体" w:cs="宋体"/>
                <w:sz w:val="24"/>
              </w:rPr>
              <w:t>16至30（含）个交易日之间</w:t>
            </w:r>
          </w:p>
        </w:tc>
        <w:tc>
          <w:tcPr>
            <w:tcW w:w="1862" w:type="dxa"/>
            <w:vAlign w:val="center"/>
          </w:tcPr>
          <w:p>
            <w:pPr>
              <w:jc w:val="center"/>
              <w:rPr>
                <w:rFonts w:ascii="宋体" w:hAnsi="宋体" w:eastAsia="宋体" w:cs="宋体"/>
                <w:sz w:val="24"/>
              </w:rPr>
            </w:pPr>
            <w:r>
              <w:rPr>
                <w:rFonts w:hint="eastAsia" w:ascii="宋体" w:hAnsi="宋体" w:eastAsia="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1" w:type="dxa"/>
            <w:vAlign w:val="center"/>
          </w:tcPr>
          <w:p>
            <w:pPr>
              <w:rPr>
                <w:rFonts w:ascii="宋体" w:hAnsi="宋体" w:eastAsia="宋体" w:cs="宋体"/>
                <w:sz w:val="24"/>
              </w:rPr>
            </w:pPr>
            <w:r>
              <w:rPr>
                <w:rFonts w:hint="eastAsia" w:ascii="宋体" w:hAnsi="宋体" w:eastAsia="宋体" w:cs="宋体"/>
                <w:sz w:val="24"/>
              </w:rPr>
              <w:t>31至45（含）个交易日之间</w:t>
            </w:r>
          </w:p>
        </w:tc>
        <w:tc>
          <w:tcPr>
            <w:tcW w:w="1862" w:type="dxa"/>
            <w:vAlign w:val="center"/>
          </w:tcPr>
          <w:p>
            <w:pPr>
              <w:jc w:val="center"/>
              <w:rPr>
                <w:rFonts w:ascii="宋体" w:hAnsi="宋体" w:eastAsia="宋体" w:cs="宋体"/>
                <w:sz w:val="24"/>
              </w:rPr>
            </w:pPr>
            <w:r>
              <w:rPr>
                <w:rFonts w:hint="eastAsia" w:ascii="宋体" w:hAnsi="宋体" w:eastAsia="宋体" w:cs="宋体"/>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1" w:type="dxa"/>
            <w:vAlign w:val="center"/>
          </w:tcPr>
          <w:p>
            <w:pPr>
              <w:rPr>
                <w:rFonts w:ascii="宋体" w:hAnsi="宋体" w:eastAsia="宋体" w:cs="宋体"/>
                <w:sz w:val="24"/>
              </w:rPr>
            </w:pPr>
            <w:r>
              <w:rPr>
                <w:rFonts w:hint="eastAsia" w:ascii="宋体" w:hAnsi="宋体" w:eastAsia="宋体" w:cs="宋体"/>
                <w:sz w:val="24"/>
              </w:rPr>
              <w:t>46（含）个交易日以上</w:t>
            </w:r>
          </w:p>
        </w:tc>
        <w:tc>
          <w:tcPr>
            <w:tcW w:w="1862" w:type="dxa"/>
            <w:vAlign w:val="center"/>
          </w:tcPr>
          <w:p>
            <w:pPr>
              <w:jc w:val="center"/>
              <w:rPr>
                <w:rFonts w:ascii="宋体" w:hAnsi="宋体" w:eastAsia="宋体" w:cs="宋体"/>
                <w:sz w:val="24"/>
              </w:rPr>
            </w:pPr>
            <w:r>
              <w:rPr>
                <w:rFonts w:hint="eastAsia" w:ascii="宋体" w:hAnsi="宋体" w:eastAsia="宋体" w:cs="宋体"/>
                <w:sz w:val="24"/>
              </w:rPr>
              <w:t>100%</w:t>
            </w:r>
          </w:p>
        </w:tc>
      </w:tr>
    </w:tbl>
    <w:p>
      <w:pPr>
        <w:spacing w:line="480" w:lineRule="exact"/>
        <w:ind w:firstLine="600" w:firstLineChars="200"/>
        <w:rPr>
          <w:rFonts w:ascii="楷体_GB2312" w:hAnsi="楷体_GB2312" w:eastAsia="楷体_GB2312" w:cs="楷体"/>
          <w:sz w:val="30"/>
          <w:szCs w:val="30"/>
        </w:rPr>
      </w:pPr>
      <w:r>
        <w:rPr>
          <w:rFonts w:hint="eastAsia" w:ascii="楷体_GB2312" w:hAnsi="楷体_GB2312" w:eastAsia="楷体_GB2312" w:cs="楷体"/>
          <w:sz w:val="30"/>
          <w:szCs w:val="30"/>
        </w:rPr>
        <w:t>（二）非货款对付模式下信用风险加权资产计算</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非货款对付模式下，因商业银行已执行支付，而交易对手未在约定日期支付而产生的风险暴露：自商业银行执行支付之日起，交易对手未支付部分视同对该交易对手的风险暴露进行处理；自交易对手应履行支付义务之日起，5个交易日后，交易对手仍未支付部分的风险权重为1250%。</w:t>
      </w:r>
    </w:p>
    <w:p>
      <w:pPr>
        <w:pStyle w:val="2"/>
      </w:pPr>
      <w:r>
        <w:rPr>
          <w:rFonts w:hint="eastAsia"/>
        </w:rPr>
        <w:t>四、信用风险权重法合格信用风险缓释监管要求</w:t>
      </w:r>
    </w:p>
    <w:p>
      <w:pPr>
        <w:spacing w:line="480" w:lineRule="exact"/>
        <w:ind w:firstLine="600" w:firstLineChars="200"/>
        <w:rPr>
          <w:rFonts w:ascii="楷体_GB2312" w:hAnsi="楷体_GB2312" w:eastAsia="楷体_GB2312" w:cs="楷体"/>
          <w:sz w:val="30"/>
          <w:szCs w:val="30"/>
        </w:rPr>
      </w:pPr>
      <w:r>
        <w:rPr>
          <w:rFonts w:hint="eastAsia" w:ascii="楷体_GB2312" w:hAnsi="楷体_GB2312" w:eastAsia="楷体_GB2312" w:cs="楷体"/>
          <w:sz w:val="30"/>
          <w:szCs w:val="30"/>
        </w:rPr>
        <w:t>（一）一般要求</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商业银行应确保信用风险缓释工具遵循《中华人民共和国民法典》《中华人民共和国期货和衍生品法》等法律文件的要求，并应进行有效的法律审查，确保认可和使用信用风险缓释工具时依据明确可执行的法律文件，且相关法律文件对交易各方均有约束力，并在所涉及的经济体中得到可靠实施。</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2.商业银行应在相关协议中明确约定信用风险缓释覆盖的范围。</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3.商业银行不得重复计算信用风险缓释作用。</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4.商业银行应制定书面管理制度以及审查和操作流程，并建立相应的信息系统，确保信用风险缓释作用的有效发挥。</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5.在采用风险缓释技术降低信用风险的同时，商业银行还应建立相应的制度和流程来管理由于风险缓释本身带来的剩余风险，包括法律风险、操作风险、流动性风险和市场风险等。</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6.信用风险缓释工具、因风险缓释带来的剩余风险，与债务人风险之间不应具有实质的正相关性。</w:t>
      </w:r>
    </w:p>
    <w:p>
      <w:pPr>
        <w:spacing w:line="480" w:lineRule="exact"/>
        <w:ind w:firstLine="600" w:firstLineChars="200"/>
        <w:rPr>
          <w:rFonts w:ascii="楷体_GB2312" w:hAnsi="楷体_GB2312" w:eastAsia="楷体_GB2312" w:cs="楷体"/>
          <w:sz w:val="30"/>
          <w:szCs w:val="30"/>
        </w:rPr>
      </w:pPr>
      <w:r>
        <w:rPr>
          <w:rFonts w:hint="eastAsia" w:ascii="楷体_GB2312" w:hAnsi="楷体_GB2312" w:eastAsia="楷体_GB2312" w:cs="楷体"/>
          <w:sz w:val="30"/>
          <w:szCs w:val="30"/>
        </w:rPr>
        <w:t>（二）合格质物</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商业银行采用权重法，应在本附件第五部分规定范围内认定合格质物，并应同时满足以下认定要求：</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1.商业银行应建立明确和严格的程序，确保在债务人违约、无力偿还、破产或发生其他借款合同约定的信用事件时，有权并及时地对债务人的质物进行清算或处置。</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2.为确保质物能提供有效保护，债务人的信用与质物的价值不应具有实质的正相关性。</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3.如果质物被托管方持有，商业银行应确保托管方将质物与其自有资产分离。</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4.商业银行应建立质物的估值管理制度，质物价值评估应采用盯市价值的方法，且至少每6个月进行一次重新评估。</w:t>
      </w:r>
    </w:p>
    <w:p>
      <w:pPr>
        <w:spacing w:line="480" w:lineRule="exact"/>
        <w:ind w:firstLine="600" w:firstLineChars="200"/>
        <w:rPr>
          <w:rFonts w:ascii="楷体_GB2312" w:hAnsi="楷体_GB2312" w:eastAsia="楷体_GB2312" w:cs="楷体"/>
          <w:sz w:val="30"/>
          <w:szCs w:val="30"/>
        </w:rPr>
      </w:pPr>
      <w:r>
        <w:rPr>
          <w:rFonts w:hint="eastAsia" w:ascii="楷体_GB2312" w:hAnsi="楷体_GB2312" w:eastAsia="楷体_GB2312" w:cs="楷体"/>
          <w:sz w:val="30"/>
          <w:szCs w:val="30"/>
        </w:rPr>
        <w:t>（三）合格保证和合格信用衍生工具</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1.商业银行采用权重法，应在本附件第五部分规定范围内认定合格保证，并应同时满足以下认定要求：</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（1）保证合同应直接针对商业银行某一风险暴露或特定风险暴露组合，保证人承担的偿付义务应是定义清楚、不可撤销、不可改变且是无条件的。</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（2）在确认债务人违约或不支付条件下，商业银行有权并及时向保证人追偿合同规定的款项。</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（3）商业银行应制定书面保证合同，确保保证人应有义务支付各类相关款项；若保证合同只涉及对本金的支付，利息和其他未覆盖的款项应按照未缓释部分处理。</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2.当具有信用违约互换功能的信用衍生工具和总收益互换提供的信用保护与保证相同时，可以作为合格信用衍生工具。除本附件第四部分（三）1中要求外，还应满足以下要求：</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（1）信用衍生工具提供的信用保护应是信用保护提供方的直接债务。</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（2）除非由于信用保护购买方的原因，否则合同规定的支付义务不可撤销。</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（3）信用衍生工具合约规定的信用事件至少应包括：</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a.未按约定在基础债项的最终支付日足额履行支付义务，且在适用的宽限期届满后仍未纠正。</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b.债务人破产、资不抵债或无力偿还债务，或书面承认无力支付到期债务，以及其他类似事件。</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c.因本金、利息、费用的下调或推迟支付等对基础债项的重组而导致的信用损失事件。当债项重组不作为信用事件时，按照下述（9）的规定认定信用风险缓释作用。</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（4）在违约所规定的宽限期之前，基础债项不能支付并不导致信用衍生工具终止。</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（5）允许现金结算的信用衍生工具，应具备严格的评估程序，以便准确估计损失。评估程序中应明确信用事件发生后获取基础债项价值所需时间。</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（6）如果信用衍生工具的结算要求信用保护购买方将基础债项转移给信用保护提供方，基础债项的合同条款中应明确此类转移许可不可被无理由撤销。</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（7）应明确负责确定信用事件是否发生的主体。信用保护购买方应有权力和能力通知信用保护提供方信用事件的发生。</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8）信用衍生工具基础债项与用于确定信用事件的参照债项之间的错配在以下条件下是被接受的：参照债项在级别上与基础债项相似或比其等级更低，同时参照债项与基础债项的债务人相同，而且应有依法可强制执行的交叉违约或交叉加速还款条款。</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9）信用衍生工具并未覆盖债务重组的情况，但满足前述（3）到（8）项的要求，可部分认可信用衍生工具的风险缓释作用。如信用衍生工具的金额不超过基础债项的金额，信用衍生工具覆盖的部分为信用衍生工具金额的60%。如信用衍生工具的金额大于基础债项的金额，信用衍生工具覆盖部分的上限为基础债项金额的60%。</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3.合格信用衍生工具的信用保护提供方的范围与合格保证的保证人一致。</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4.商业银行不得认定首次违约以及后续第N次违约信用衍生工具为合格的信用风险缓释工具。</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商业银行采用带有偿付临界值的保证或信用保护，在该临界值之下出现损失无法得到赔付时，由商业银行承担第一损失。对于采用此类保证或信用保护的商业银行，其风险暴露低于临界值的部分，应采用1250%的风险权重计量风险加权资产。</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6.若损失由商业银行和保证人或信用保护提供方按比例承担，资本减让应按比例处理，即风险暴露受保护部分将适用于合格保证或信用衍生工具的处理，剩余部分则作为无担保处理。分档次抵补应按照本办法附件11资产证券化风险加权资产规则执行。</w:t>
      </w:r>
    </w:p>
    <w:p>
      <w:pPr>
        <w:spacing w:line="480" w:lineRule="exact"/>
        <w:ind w:firstLine="600" w:firstLineChars="200"/>
        <w:rPr>
          <w:rFonts w:ascii="楷体_GB2312" w:hAnsi="楷体_GB2312" w:eastAsia="楷体_GB2312" w:cs="楷体"/>
          <w:sz w:val="30"/>
          <w:szCs w:val="30"/>
        </w:rPr>
      </w:pPr>
      <w:r>
        <w:rPr>
          <w:rFonts w:hint="eastAsia" w:ascii="楷体_GB2312" w:hAnsi="楷体_GB2312" w:eastAsia="楷体_GB2312" w:cs="楷体"/>
          <w:sz w:val="30"/>
          <w:szCs w:val="30"/>
        </w:rPr>
        <w:t>（四）币种错配</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若风险暴露与信用风险缓释工具之间存在币种错配，商业银行应将风险暴露划分为覆盖和未覆盖部分，并按照以下公式采用折扣系数</w:t>
      </w:r>
      <m:oMath>
        <m:sSub>
          <m:sSubPr>
            <m:ctrlPr>
              <w:rPr>
                <w:rFonts w:ascii="DejaVu Math TeX Gyre" w:hAnsi="DejaVu Math TeX Gyre" w:eastAsia="仿宋_GB2312" w:cs="Times New Roman"/>
                <w:i/>
                <w:sz w:val="30"/>
                <w:szCs w:val="30"/>
              </w:rPr>
            </m:ctrlPr>
          </m:sSubPr>
          <m:e>
            <m:r>
              <m:rPr/>
              <w:rPr>
                <w:rFonts w:hint="eastAsia" w:ascii="DejaVu Math TeX Gyre" w:hAnsi="DejaVu Math TeX Gyre" w:eastAsia="仿宋_GB2312" w:cs="Times New Roman"/>
                <w:sz w:val="30"/>
                <w:szCs w:val="30"/>
              </w:rPr>
              <m:t>H</m:t>
            </m:r>
            <m:ctrlPr>
              <w:rPr>
                <w:rFonts w:ascii="DejaVu Math TeX Gyre" w:hAnsi="DejaVu Math TeX Gyre" w:eastAsia="仿宋_GB2312" w:cs="Times New Roman"/>
                <w:i/>
                <w:sz w:val="30"/>
                <w:szCs w:val="30"/>
              </w:rPr>
            </m:ctrlPr>
          </m:e>
          <m:sub>
            <m:r>
              <m:rPr/>
              <w:rPr>
                <w:rFonts w:hint="eastAsia" w:ascii="DejaVu Math TeX Gyre" w:hAnsi="DejaVu Math TeX Gyre" w:eastAsia="仿宋_GB2312" w:cs="Times New Roman"/>
                <w:sz w:val="30"/>
                <w:szCs w:val="30"/>
              </w:rPr>
              <m:t>fx</m:t>
            </m:r>
            <m:ctrlPr>
              <w:rPr>
                <w:rFonts w:ascii="DejaVu Math TeX Gyre" w:hAnsi="DejaVu Math TeX Gyre" w:eastAsia="仿宋_GB2312" w:cs="Times New Roman"/>
                <w:i/>
                <w:sz w:val="30"/>
                <w:szCs w:val="30"/>
              </w:rPr>
            </m:ctrlPr>
          </m:sub>
        </m:sSub>
      </m:oMath>
      <w:r>
        <w:rPr>
          <w:rFonts w:hint="eastAsia" w:ascii="仿宋_GB2312" w:hAnsi="Times New Roman" w:eastAsia="仿宋_GB2312" w:cs="Times New Roman"/>
          <w:sz w:val="30"/>
          <w:szCs w:val="30"/>
        </w:rPr>
        <w:t>降低信用风险缓释工具覆盖部分风险暴露。风险暴露与合格质物之间的币种错配无需进行调整。</w:t>
      </w:r>
    </w:p>
    <w:p>
      <w:pPr>
        <w:jc w:val="center"/>
      </w:pPr>
      <w:r>
        <w:rPr>
          <w:rFonts w:hint="eastAsia"/>
        </w:rPr>
        <w:object>
          <v:shape id="_x0000_i1025" o:spt="75" type="#_x0000_t75" style="height:24pt;width:108.6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其中：</w:t>
      </w:r>
    </w:p>
    <w:p>
      <w:pPr>
        <w:spacing w:line="480" w:lineRule="exact"/>
        <w:ind w:firstLine="600" w:firstLineChars="200"/>
        <w:rPr>
          <w:rFonts w:ascii="仿宋_GB2312" w:hAnsi="Times New Roman" w:eastAsia="仿宋_GB2312" w:cs="Times New Roman"/>
          <w:sz w:val="30"/>
          <w:szCs w:val="30"/>
        </w:rPr>
      </w:pPr>
      <m:oMath>
        <m:sSub>
          <m:sSubPr>
            <m:ctrlPr>
              <w:rPr>
                <w:rFonts w:ascii="DejaVu Math TeX Gyre" w:hAnsi="DejaVu Math TeX Gyre" w:eastAsia="仿宋_GB2312" w:cs="Times New Roman"/>
                <w:i/>
                <w:sz w:val="30"/>
                <w:szCs w:val="30"/>
              </w:rPr>
            </m:ctrlPr>
          </m:sSubPr>
          <m:e>
            <m:r>
              <m:rPr/>
              <w:rPr>
                <w:rFonts w:ascii="DejaVu Math TeX Gyre" w:hAnsi="DejaVu Math TeX Gyre" w:eastAsia="仿宋_GB2312" w:cs="Times New Roman"/>
                <w:sz w:val="30"/>
                <w:szCs w:val="30"/>
              </w:rPr>
              <m:t>G</m:t>
            </m:r>
            <m:ctrlPr>
              <w:rPr>
                <w:rFonts w:ascii="DejaVu Math TeX Gyre" w:hAnsi="DejaVu Math TeX Gyre" w:eastAsia="仿宋_GB2312" w:cs="Times New Roman"/>
                <w:i/>
                <w:sz w:val="30"/>
                <w:szCs w:val="30"/>
              </w:rPr>
            </m:ctrlPr>
          </m:e>
          <m:sub>
            <m:r>
              <m:rPr/>
              <w:rPr>
                <w:rFonts w:ascii="DejaVu Math TeX Gyre" w:hAnsi="DejaVu Math TeX Gyre" w:eastAsia="仿宋_GB2312" w:cs="Times New Roman"/>
                <w:sz w:val="30"/>
                <w:szCs w:val="30"/>
              </w:rPr>
              <m:t>α</m:t>
            </m:r>
            <m:ctrlPr>
              <w:rPr>
                <w:rFonts w:ascii="DejaVu Math TeX Gyre" w:hAnsi="DejaVu Math TeX Gyre" w:eastAsia="仿宋_GB2312" w:cs="Times New Roman"/>
                <w:i/>
                <w:sz w:val="30"/>
                <w:szCs w:val="30"/>
              </w:rPr>
            </m:ctrlPr>
          </m:sub>
        </m:sSub>
      </m:oMath>
      <w:r>
        <w:rPr>
          <w:rFonts w:hint="eastAsia" w:ascii="仿宋_GB2312" w:hAnsi="Times New Roman" w:eastAsia="仿宋_GB2312" w:cs="Times New Roman"/>
          <w:sz w:val="30"/>
          <w:szCs w:val="30"/>
        </w:rPr>
        <w:t>为经币种错配调整后的信用风险缓释工具覆盖部分风险暴露；</w:t>
      </w:r>
    </w:p>
    <w:p>
      <w:pPr>
        <w:spacing w:line="480" w:lineRule="exact"/>
        <w:ind w:firstLine="600" w:firstLineChars="200"/>
        <w:rPr>
          <w:rFonts w:ascii="仿宋_GB2312" w:hAnsi="Times New Roman" w:eastAsia="仿宋_GB2312" w:cs="Times New Roman"/>
          <w:sz w:val="30"/>
          <w:szCs w:val="30"/>
        </w:rPr>
      </w:pPr>
      <m:oMath>
        <m:r>
          <m:rPr/>
          <w:rPr>
            <w:rFonts w:ascii="DejaVu Math TeX Gyre" w:hAnsi="DejaVu Math TeX Gyre" w:eastAsia="仿宋_GB2312" w:cs="Times New Roman"/>
            <w:sz w:val="30"/>
            <w:szCs w:val="30"/>
          </w:rPr>
          <m:t>G</m:t>
        </m:r>
      </m:oMath>
      <w:r>
        <w:rPr>
          <w:rFonts w:hint="eastAsia" w:ascii="仿宋_GB2312" w:hAnsi="Times New Roman" w:eastAsia="仿宋_GB2312" w:cs="Times New Roman"/>
          <w:sz w:val="30"/>
          <w:szCs w:val="30"/>
        </w:rPr>
        <w:t>为信用风险缓释工具覆盖部分风险暴露；</w:t>
      </w:r>
    </w:p>
    <w:p>
      <w:pPr>
        <w:spacing w:line="480" w:lineRule="exact"/>
        <w:ind w:firstLine="600" w:firstLineChars="200"/>
        <w:rPr>
          <w:rFonts w:ascii="仿宋_GB2312" w:hAnsi="Times New Roman" w:eastAsia="仿宋_GB2312" w:cs="Times New Roman"/>
          <w:sz w:val="30"/>
          <w:szCs w:val="30"/>
        </w:rPr>
      </w:pPr>
      <m:oMath>
        <m:sSub>
          <m:sSubPr>
            <m:ctrlPr>
              <w:rPr>
                <w:rFonts w:ascii="DejaVu Math TeX Gyre" w:hAnsi="DejaVu Math TeX Gyre" w:eastAsia="仿宋_GB2312" w:cs="Times New Roman"/>
                <w:i/>
                <w:sz w:val="30"/>
                <w:szCs w:val="30"/>
              </w:rPr>
            </m:ctrlPr>
          </m:sSubPr>
          <m:e>
            <m:r>
              <m:rPr/>
              <w:rPr>
                <w:rFonts w:ascii="DejaVu Math TeX Gyre" w:hAnsi="DejaVu Math TeX Gyre" w:eastAsia="仿宋_GB2312" w:cs="Times New Roman"/>
                <w:sz w:val="30"/>
                <w:szCs w:val="30"/>
              </w:rPr>
              <m:t>H</m:t>
            </m:r>
            <m:ctrlPr>
              <w:rPr>
                <w:rFonts w:ascii="DejaVu Math TeX Gyre" w:hAnsi="DejaVu Math TeX Gyre" w:eastAsia="仿宋_GB2312" w:cs="Times New Roman"/>
                <w:i/>
                <w:sz w:val="30"/>
                <w:szCs w:val="30"/>
              </w:rPr>
            </m:ctrlPr>
          </m:e>
          <m:sub>
            <m:r>
              <m:rPr/>
              <w:rPr>
                <w:rFonts w:ascii="DejaVu Math TeX Gyre" w:hAnsi="DejaVu Math TeX Gyre" w:eastAsia="仿宋_GB2312" w:cs="Times New Roman"/>
                <w:sz w:val="30"/>
                <w:szCs w:val="30"/>
              </w:rPr>
              <m:t>fx</m:t>
            </m:r>
            <m:ctrlPr>
              <w:rPr>
                <w:rFonts w:ascii="DejaVu Math TeX Gyre" w:hAnsi="DejaVu Math TeX Gyre" w:eastAsia="仿宋_GB2312" w:cs="Times New Roman"/>
                <w:i/>
                <w:sz w:val="30"/>
                <w:szCs w:val="30"/>
              </w:rPr>
            </m:ctrlPr>
          </m:sub>
        </m:sSub>
      </m:oMath>
      <w:r>
        <w:rPr>
          <w:rFonts w:hint="eastAsia" w:ascii="仿宋_GB2312" w:hAnsi="Times New Roman" w:eastAsia="仿宋_GB2312" w:cs="Times New Roman"/>
          <w:sz w:val="30"/>
          <w:szCs w:val="30"/>
        </w:rPr>
        <w:t>为信用风险缓释工具和对应风险暴露币种错配的折扣系数,为8%。</w:t>
      </w:r>
    </w:p>
    <w:p>
      <w:pPr>
        <w:spacing w:line="480" w:lineRule="exact"/>
        <w:ind w:firstLine="600" w:firstLineChars="200"/>
        <w:rPr>
          <w:rFonts w:ascii="楷体_GB2312" w:hAnsi="楷体_GB2312" w:eastAsia="楷体_GB2312" w:cs="楷体"/>
          <w:sz w:val="30"/>
          <w:szCs w:val="30"/>
        </w:rPr>
      </w:pPr>
      <w:r>
        <w:rPr>
          <w:rFonts w:hint="eastAsia" w:ascii="楷体_GB2312" w:hAnsi="楷体_GB2312" w:eastAsia="楷体_GB2312" w:cs="楷体"/>
          <w:sz w:val="30"/>
          <w:szCs w:val="30"/>
        </w:rPr>
        <w:t>（五）期限错配</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1.若信用风险缓释工具的剩余期限比风险暴露的剩余期限短，商业银行应考虑期限错配的影响。存在期限错配时，若信用风险缓释工具的原始期限不足1年且剩余期限不足3个月，则不具有信用风险缓释作用。</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2.商业银行应审慎评估风险暴露期限和信用风险缓释工具期限。</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3.合格保证的剩余期限短于风险暴露剩余期限的，不具有信用风险缓释作用。</w:t>
      </w:r>
    </w:p>
    <w:p>
      <w:pPr>
        <w:numPr>
          <w:ilvl w:val="255"/>
          <w:numId w:val="0"/>
        </w:num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合格质物的剩余期限短于风险暴露剩余期限的，若交易双方在担保合同中约定了质物的补充、置换机制，能够确保风险暴露剩余期限被完全覆盖的，不视为存在期限错配。若无上述机制安排，则应视为存在期限错配且不具有信用风险缓释作用。</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5.商业银行应按照以下公式对信用风险缓释工具价值进行调整：</w:t>
      </w:r>
    </w:p>
    <w:p>
      <w:pPr>
        <w:spacing w:line="480" w:lineRule="exact"/>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object>
          <v:shape id="_x0000_i1026" o:spt="75" type="#_x0000_t75" style="height:21.35pt;width:174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其中：</w:t>
      </w:r>
    </w:p>
    <w:p>
      <w:pPr>
        <w:spacing w:line="480" w:lineRule="exact"/>
        <w:ind w:firstLine="600" w:firstLineChars="200"/>
        <w:rPr>
          <w:rFonts w:ascii="仿宋_GB2312" w:hAnsi="Times New Roman" w:eastAsia="仿宋_GB2312" w:cs="Times New Roman"/>
          <w:sz w:val="30"/>
          <w:szCs w:val="30"/>
        </w:rPr>
      </w:pPr>
      <m:oMath>
        <m:sSub>
          <m:sSubPr>
            <m:ctrlPr>
              <w:rPr>
                <w:rFonts w:ascii="DejaVu Math TeX Gyre" w:hAnsi="DejaVu Math TeX Gyre" w:eastAsia="仿宋_GB2312" w:cs="Times New Roman"/>
                <w:sz w:val="30"/>
                <w:szCs w:val="30"/>
              </w:rPr>
            </m:ctrlPr>
          </m:sSubPr>
          <m:e>
            <m:r>
              <m:rPr/>
              <w:rPr>
                <w:rFonts w:hint="eastAsia" w:ascii="DejaVu Math TeX Gyre" w:hAnsi="DejaVu Math TeX Gyre" w:eastAsia="仿宋_GB2312" w:cs="Times New Roman"/>
                <w:sz w:val="30"/>
                <w:szCs w:val="30"/>
              </w:rPr>
              <m:t>P</m:t>
            </m:r>
            <m:ctrlPr>
              <w:rPr>
                <w:rFonts w:ascii="DejaVu Math TeX Gyre" w:hAnsi="DejaVu Math TeX Gyre" w:eastAsia="仿宋_GB2312" w:cs="Times New Roman"/>
                <w:sz w:val="30"/>
                <w:szCs w:val="30"/>
              </w:rPr>
            </m:ctrlPr>
          </m:e>
          <m:sub>
            <m:r>
              <m:rPr/>
              <w:rPr>
                <w:rFonts w:ascii="DejaVu Math TeX Gyre" w:hAnsi="DejaVu Math TeX Gyre" w:eastAsia="仿宋_GB2312" w:cs="Times New Roman"/>
                <w:sz w:val="30"/>
                <w:szCs w:val="30"/>
              </w:rPr>
              <m:t>α</m:t>
            </m:r>
            <m:ctrlPr>
              <w:rPr>
                <w:rFonts w:ascii="DejaVu Math TeX Gyre" w:hAnsi="DejaVu Math TeX Gyre" w:eastAsia="仿宋_GB2312" w:cs="Times New Roman"/>
                <w:sz w:val="30"/>
                <w:szCs w:val="30"/>
              </w:rPr>
            </m:ctrlPr>
          </m:sub>
        </m:sSub>
      </m:oMath>
      <w:r>
        <w:rPr>
          <w:rFonts w:hint="eastAsia" w:ascii="仿宋_GB2312" w:hAnsi="Times New Roman" w:eastAsia="仿宋_GB2312" w:cs="Times New Roman"/>
          <w:sz w:val="30"/>
          <w:szCs w:val="30"/>
        </w:rPr>
        <w:t>为期限错配因素调整后的信用风险缓释工具价值；</w:t>
      </w:r>
    </w:p>
    <w:p>
      <w:pPr>
        <w:spacing w:line="480" w:lineRule="exact"/>
        <w:ind w:firstLine="600" w:firstLineChars="200"/>
        <w:rPr>
          <w:rFonts w:ascii="仿宋_GB2312" w:hAnsi="Times New Roman" w:eastAsia="仿宋_GB2312" w:cs="Times New Roman"/>
          <w:sz w:val="30"/>
          <w:szCs w:val="30"/>
        </w:rPr>
      </w:pPr>
      <m:oMath>
        <m:r>
          <m:rPr/>
          <w:rPr>
            <w:rFonts w:ascii="DejaVu Math TeX Gyre" w:hAnsi="DejaVu Math TeX Gyre" w:eastAsia="仿宋_GB2312" w:cs="Times New Roman"/>
            <w:sz w:val="30"/>
            <w:szCs w:val="30"/>
          </w:rPr>
          <m:t>P</m:t>
        </m:r>
      </m:oMath>
      <w:r>
        <w:rPr>
          <w:rFonts w:hint="eastAsia" w:ascii="仿宋_GB2312" w:hAnsi="Times New Roman" w:eastAsia="仿宋_GB2312" w:cs="Times New Roman"/>
          <w:sz w:val="30"/>
          <w:szCs w:val="30"/>
        </w:rPr>
        <w:t>为期限错配因素调整前、经币种错配调整后的信用风险缓释工具价值；</w:t>
      </w:r>
    </w:p>
    <w:p>
      <w:pPr>
        <w:spacing w:line="480" w:lineRule="exact"/>
        <w:ind w:firstLine="600" w:firstLineChars="200"/>
        <w:rPr>
          <w:rFonts w:ascii="仿宋_GB2312" w:hAnsi="Times New Roman" w:eastAsia="仿宋_GB2312" w:cs="Times New Roman"/>
          <w:sz w:val="30"/>
          <w:szCs w:val="30"/>
        </w:rPr>
      </w:pPr>
      <m:oMath>
        <m:r>
          <m:rPr/>
          <w:rPr>
            <w:rFonts w:ascii="DejaVu Math TeX Gyre" w:hAnsi="DejaVu Math TeX Gyre" w:eastAsia="仿宋_GB2312" w:cs="Times New Roman"/>
            <w:sz w:val="30"/>
            <w:szCs w:val="30"/>
          </w:rPr>
          <m:t>T</m:t>
        </m:r>
      </m:oMath>
      <w:r>
        <w:rPr>
          <w:rFonts w:hint="eastAsia" w:ascii="仿宋_GB2312" w:hAnsi="Times New Roman" w:eastAsia="仿宋_GB2312" w:cs="Times New Roman"/>
          <w:sz w:val="30"/>
          <w:szCs w:val="30"/>
        </w:rPr>
        <w:t>为风险暴露的剩余期限与5之间的较小值，以年表示；</w:t>
      </w:r>
    </w:p>
    <w:p>
      <w:pPr>
        <w:spacing w:line="480" w:lineRule="exact"/>
        <w:ind w:firstLine="600" w:firstLineChars="200"/>
        <w:rPr>
          <w:rFonts w:ascii="仿宋_GB2312" w:hAnsi="Times New Roman" w:eastAsia="仿宋_GB2312" w:cs="Times New Roman"/>
          <w:sz w:val="30"/>
          <w:szCs w:val="30"/>
        </w:rPr>
      </w:pPr>
      <m:oMath>
        <m:r>
          <m:rPr/>
          <w:rPr>
            <w:rFonts w:ascii="DejaVu Math TeX Gyre" w:hAnsi="DejaVu Math TeX Gyre" w:eastAsia="仿宋_GB2312" w:cs="Times New Roman"/>
            <w:sz w:val="30"/>
            <w:szCs w:val="30"/>
          </w:rPr>
          <m:t>t</m:t>
        </m:r>
      </m:oMath>
      <w:r>
        <w:rPr>
          <w:rFonts w:hint="eastAsia" w:ascii="仿宋_GB2312" w:hAnsi="Times New Roman" w:eastAsia="仿宋_GB2312" w:cs="Times New Roman"/>
          <w:sz w:val="30"/>
          <w:szCs w:val="30"/>
        </w:rPr>
        <w:t>为信用风险缓释工具的剩余期限与</w:t>
      </w:r>
      <m:oMath>
        <m:r>
          <m:rPr/>
          <w:rPr>
            <w:rFonts w:hint="eastAsia" w:ascii="DejaVu Math TeX Gyre" w:hAnsi="DejaVu Math TeX Gyre" w:eastAsia="仿宋_GB2312" w:cs="Times New Roman"/>
            <w:sz w:val="30"/>
            <w:szCs w:val="30"/>
          </w:rPr>
          <m:t>T</m:t>
        </m:r>
      </m:oMath>
      <w:r>
        <w:rPr>
          <w:rFonts w:hint="eastAsia" w:ascii="仿宋_GB2312" w:hAnsi="Times New Roman" w:eastAsia="仿宋_GB2312" w:cs="Times New Roman"/>
          <w:sz w:val="30"/>
          <w:szCs w:val="30"/>
        </w:rPr>
        <w:t>之间的较小值，以年表示。</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（六）同一风险暴露存在多种信用风险缓释工具时，应将风险暴露拆分为由不同信用风险缓释工具覆盖部分，分别计算风险加权资产。</w:t>
      </w:r>
    </w:p>
    <w:p>
      <w:pPr>
        <w:pStyle w:val="2"/>
      </w:pPr>
      <w:r>
        <w:rPr>
          <w:rFonts w:hint="eastAsia"/>
        </w:rPr>
        <w:t>五、合格信用风险缓释工具种类</w:t>
      </w:r>
    </w:p>
    <w:p>
      <w:pPr>
        <w:jc w:val="center"/>
        <w:rPr>
          <w:rFonts w:ascii="楷体_GB2312" w:hAnsi="Times New Roman" w:eastAsia="楷体_GB2312" w:cs="Times New Roman"/>
          <w:b/>
          <w:sz w:val="28"/>
          <w:szCs w:val="28"/>
        </w:rPr>
      </w:pPr>
      <w:r>
        <w:rPr>
          <w:rFonts w:hint="eastAsia" w:ascii="楷体_GB2312" w:hAnsi="Times New Roman" w:eastAsia="楷体_GB2312" w:cs="Times New Roman"/>
          <w:b/>
          <w:sz w:val="28"/>
          <w:szCs w:val="28"/>
        </w:rPr>
        <w:t>表4 合格信用风险缓释工具的种类</w:t>
      </w:r>
    </w:p>
    <w:tbl>
      <w:tblPr>
        <w:tblStyle w:val="12"/>
        <w:tblW w:w="8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6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86" w:type="dxa"/>
          </w:tcPr>
          <w:p>
            <w:pPr>
              <w:jc w:val="center"/>
              <w:rPr>
                <w:rFonts w:ascii="宋体" w:hAnsi="宋体" w:eastAsia="宋体"/>
                <w:sz w:val="24"/>
              </w:rPr>
            </w:pPr>
            <w:r>
              <w:rPr>
                <w:rFonts w:hint="eastAsia" w:ascii="宋体" w:hAnsi="宋体" w:eastAsia="宋体"/>
                <w:sz w:val="24"/>
              </w:rPr>
              <w:t>信用风险缓释工具</w:t>
            </w:r>
          </w:p>
        </w:tc>
        <w:tc>
          <w:tcPr>
            <w:tcW w:w="6212" w:type="dxa"/>
          </w:tcPr>
          <w:p>
            <w:pPr>
              <w:jc w:val="center"/>
              <w:rPr>
                <w:rFonts w:ascii="宋体" w:hAnsi="宋体" w:eastAsia="宋体"/>
                <w:sz w:val="24"/>
              </w:rPr>
            </w:pPr>
            <w:r>
              <w:rPr>
                <w:rFonts w:hint="eastAsia" w:ascii="宋体" w:hAnsi="宋体" w:eastAsia="宋体"/>
                <w:sz w:val="24"/>
              </w:rPr>
              <w:t>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Align w:val="center"/>
          </w:tcPr>
          <w:p>
            <w:pPr>
              <w:jc w:val="center"/>
              <w:rPr>
                <w:rFonts w:ascii="宋体" w:hAnsi="宋体" w:eastAsia="宋体"/>
                <w:sz w:val="24"/>
              </w:rPr>
            </w:pPr>
            <w:r>
              <w:rPr>
                <w:rFonts w:hint="eastAsia" w:ascii="宋体" w:hAnsi="宋体" w:eastAsia="宋体"/>
                <w:sz w:val="24"/>
              </w:rPr>
              <w:t>质物</w:t>
            </w:r>
          </w:p>
        </w:tc>
        <w:tc>
          <w:tcPr>
            <w:tcW w:w="6212" w:type="dxa"/>
          </w:tcPr>
          <w:p>
            <w:pPr>
              <w:rPr>
                <w:rFonts w:ascii="宋体" w:hAnsi="宋体" w:eastAsia="宋体"/>
                <w:sz w:val="24"/>
              </w:rPr>
            </w:pPr>
            <w:r>
              <w:rPr>
                <w:rFonts w:hint="eastAsia" w:ascii="宋体" w:hAnsi="宋体" w:eastAsia="宋体"/>
                <w:sz w:val="24"/>
              </w:rPr>
              <w:t>（一）以特户、封金或保证金等形式特定化后的现金；</w:t>
            </w:r>
          </w:p>
          <w:p>
            <w:pPr>
              <w:rPr>
                <w:rFonts w:ascii="宋体" w:hAnsi="宋体" w:eastAsia="宋体"/>
                <w:sz w:val="24"/>
              </w:rPr>
            </w:pPr>
            <w:r>
              <w:rPr>
                <w:rFonts w:hint="eastAsia" w:ascii="宋体" w:hAnsi="宋体" w:eastAsia="宋体"/>
                <w:sz w:val="24"/>
              </w:rPr>
              <w:t>（二）黄金；</w:t>
            </w:r>
          </w:p>
          <w:p>
            <w:pPr>
              <w:rPr>
                <w:rFonts w:ascii="宋体" w:hAnsi="宋体" w:eastAsia="宋体"/>
                <w:sz w:val="24"/>
              </w:rPr>
            </w:pPr>
            <w:r>
              <w:rPr>
                <w:rFonts w:hint="eastAsia" w:ascii="宋体" w:hAnsi="宋体" w:eastAsia="宋体"/>
                <w:sz w:val="24"/>
              </w:rPr>
              <w:t>（三）银行存单；</w:t>
            </w:r>
          </w:p>
          <w:p>
            <w:pPr>
              <w:rPr>
                <w:rFonts w:ascii="宋体" w:hAnsi="宋体" w:eastAsia="宋体"/>
                <w:sz w:val="24"/>
              </w:rPr>
            </w:pPr>
            <w:r>
              <w:rPr>
                <w:rFonts w:hint="eastAsia" w:ascii="宋体" w:hAnsi="宋体" w:eastAsia="宋体"/>
                <w:sz w:val="24"/>
              </w:rPr>
              <w:t>（四）我国财政部发行的国债；</w:t>
            </w:r>
          </w:p>
          <w:p>
            <w:pPr>
              <w:rPr>
                <w:rFonts w:ascii="宋体" w:hAnsi="宋体" w:eastAsia="宋体"/>
                <w:sz w:val="24"/>
              </w:rPr>
            </w:pPr>
            <w:r>
              <w:rPr>
                <w:rFonts w:hint="eastAsia" w:ascii="宋体" w:hAnsi="宋体" w:eastAsia="宋体"/>
                <w:sz w:val="24"/>
              </w:rPr>
              <w:t>（五）中国人民银行发行的票据；</w:t>
            </w:r>
          </w:p>
          <w:p>
            <w:pPr>
              <w:rPr>
                <w:rFonts w:ascii="宋体" w:hAnsi="宋体" w:eastAsia="宋体"/>
                <w:sz w:val="24"/>
              </w:rPr>
            </w:pPr>
            <w:r>
              <w:rPr>
                <w:rFonts w:hint="eastAsia" w:ascii="宋体" w:hAnsi="宋体" w:eastAsia="宋体"/>
                <w:sz w:val="24"/>
              </w:rPr>
              <w:t>（六）我国开发性金融机构和政策性银行、视同我国主权的公共部门实体发行的债券、票据和承兑的汇票；</w:t>
            </w:r>
          </w:p>
          <w:p>
            <w:pPr>
              <w:rPr>
                <w:rFonts w:ascii="宋体" w:hAnsi="宋体" w:eastAsia="宋体"/>
                <w:sz w:val="24"/>
              </w:rPr>
            </w:pPr>
            <w:r>
              <w:rPr>
                <w:rFonts w:hint="eastAsia" w:ascii="宋体" w:hAnsi="宋体" w:eastAsia="宋体"/>
                <w:sz w:val="24"/>
              </w:rPr>
              <w:t>（七）标准信用风险评估结果为A+级、A级的境内外商业银行发行的债券、票据和承兑的汇票；</w:t>
            </w:r>
          </w:p>
          <w:p>
            <w:pPr>
              <w:rPr>
                <w:rFonts w:ascii="宋体" w:hAnsi="宋体" w:eastAsia="宋体"/>
                <w:sz w:val="24"/>
              </w:rPr>
            </w:pPr>
            <w:r>
              <w:rPr>
                <w:rFonts w:hint="eastAsia" w:ascii="宋体" w:hAnsi="宋体" w:eastAsia="宋体"/>
                <w:sz w:val="24"/>
              </w:rPr>
              <w:t>（八）我国金融资产管理公司为收购国有银行不良贷款而定向发行的债券；</w:t>
            </w:r>
          </w:p>
          <w:p>
            <w:pPr>
              <w:rPr>
                <w:rFonts w:ascii="宋体" w:hAnsi="宋体" w:eastAsia="宋体"/>
                <w:sz w:val="24"/>
              </w:rPr>
            </w:pPr>
            <w:r>
              <w:rPr>
                <w:rFonts w:hint="eastAsia" w:ascii="宋体" w:hAnsi="宋体" w:eastAsia="宋体"/>
                <w:sz w:val="24"/>
              </w:rPr>
              <w:t>（九）评级为BBB-（含）以上国家或地区政府和中央银行发行的债券；</w:t>
            </w:r>
          </w:p>
          <w:p>
            <w:pPr>
              <w:rPr>
                <w:rFonts w:ascii="宋体" w:hAnsi="宋体" w:eastAsia="宋体"/>
                <w:sz w:val="24"/>
              </w:rPr>
            </w:pPr>
            <w:r>
              <w:rPr>
                <w:rFonts w:hint="eastAsia" w:ascii="宋体" w:hAnsi="宋体" w:eastAsia="宋体"/>
                <w:sz w:val="24"/>
              </w:rPr>
              <w:t>（十）注册地所在国家或地区的评级在A-（含）以上的境外公共部门实体发行的债券、票据和承兑的汇票；</w:t>
            </w:r>
          </w:p>
          <w:p>
            <w:pPr>
              <w:rPr>
                <w:rFonts w:ascii="宋体" w:hAnsi="宋体" w:eastAsia="宋体"/>
                <w:sz w:val="24"/>
              </w:rPr>
            </w:pPr>
            <w:r>
              <w:rPr>
                <w:rFonts w:hint="eastAsia" w:ascii="宋体" w:hAnsi="宋体" w:eastAsia="宋体"/>
                <w:sz w:val="24"/>
              </w:rPr>
              <w:t>（十一）多边开发银行、国际清算银行、国际货币基金组织、欧洲中央银行、欧盟、欧洲稳定机制和欧洲金融稳定机制发行的债券。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Align w:val="center"/>
          </w:tcPr>
          <w:p>
            <w:pPr>
              <w:jc w:val="center"/>
              <w:rPr>
                <w:rFonts w:ascii="宋体" w:hAnsi="宋体" w:eastAsia="宋体"/>
                <w:sz w:val="24"/>
              </w:rPr>
            </w:pPr>
            <w:r>
              <w:rPr>
                <w:rFonts w:hint="eastAsia" w:ascii="宋体" w:hAnsi="宋体" w:eastAsia="宋体"/>
                <w:sz w:val="24"/>
              </w:rPr>
              <w:t>保证</w:t>
            </w:r>
          </w:p>
        </w:tc>
        <w:tc>
          <w:tcPr>
            <w:tcW w:w="6212" w:type="dxa"/>
          </w:tcPr>
          <w:p>
            <w:pPr>
              <w:rPr>
                <w:rFonts w:ascii="宋体" w:hAnsi="宋体" w:eastAsia="宋体"/>
                <w:sz w:val="24"/>
              </w:rPr>
            </w:pPr>
            <w:r>
              <w:rPr>
                <w:rFonts w:hint="eastAsia" w:ascii="宋体" w:hAnsi="宋体" w:eastAsia="宋体"/>
                <w:sz w:val="24"/>
              </w:rPr>
              <w:t>（一）我国中央政府、中国人民银行、</w:t>
            </w:r>
            <w:r>
              <w:rPr>
                <w:rFonts w:hint="eastAsia" w:ascii="宋体" w:hAnsi="宋体" w:eastAsia="宋体"/>
                <w:sz w:val="24"/>
                <w:lang w:val="zh-TW"/>
              </w:rPr>
              <w:t>开发性金融机构和政策性银行</w:t>
            </w:r>
            <w:r>
              <w:rPr>
                <w:rFonts w:hint="eastAsia" w:ascii="宋体" w:hAnsi="宋体" w:eastAsia="宋体"/>
                <w:sz w:val="24"/>
              </w:rPr>
              <w:t>、我国公共部门实体；</w:t>
            </w:r>
          </w:p>
          <w:p>
            <w:pPr>
              <w:rPr>
                <w:rFonts w:ascii="宋体" w:hAnsi="宋体" w:eastAsia="宋体"/>
                <w:sz w:val="24"/>
              </w:rPr>
            </w:pPr>
            <w:r>
              <w:rPr>
                <w:rFonts w:hint="eastAsia" w:ascii="宋体" w:hAnsi="宋体" w:eastAsia="宋体"/>
                <w:sz w:val="24"/>
              </w:rPr>
              <w:t>（二）评级为BBB-（含）以上国家或地区政府和中央银行；</w:t>
            </w:r>
          </w:p>
          <w:p>
            <w:pPr>
              <w:rPr>
                <w:rFonts w:ascii="宋体" w:hAnsi="宋体" w:eastAsia="宋体"/>
                <w:sz w:val="24"/>
              </w:rPr>
            </w:pPr>
            <w:r>
              <w:rPr>
                <w:rFonts w:hint="eastAsia" w:ascii="宋体" w:hAnsi="宋体" w:eastAsia="宋体"/>
                <w:sz w:val="24"/>
              </w:rPr>
              <w:t>（三）注册地所在国家或地区的评级在A-（含）以上的境外公共部门实体；</w:t>
            </w:r>
          </w:p>
          <w:p>
            <w:pPr>
              <w:rPr>
                <w:rFonts w:ascii="宋体" w:hAnsi="宋体" w:eastAsia="宋体"/>
                <w:sz w:val="24"/>
              </w:rPr>
            </w:pPr>
            <w:r>
              <w:rPr>
                <w:rFonts w:hint="eastAsia" w:ascii="宋体" w:hAnsi="宋体" w:eastAsia="宋体"/>
                <w:sz w:val="24"/>
              </w:rPr>
              <w:t>（四）标准信用风险评估结果为A+级、A级的境内外商业银行；</w:t>
            </w:r>
          </w:p>
          <w:p>
            <w:pPr>
              <w:rPr>
                <w:rFonts w:ascii="宋体" w:hAnsi="宋体" w:eastAsia="宋体"/>
                <w:sz w:val="24"/>
              </w:rPr>
            </w:pPr>
            <w:r>
              <w:rPr>
                <w:rFonts w:hint="eastAsia" w:ascii="宋体" w:hAnsi="宋体" w:eastAsia="宋体"/>
                <w:sz w:val="24"/>
              </w:rPr>
              <w:t>（五）多边开发银行、国际清算银行和国际货币基金组织、欧洲中央银行、欧盟、欧洲稳定机制和欧洲金融稳定机制。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86" w:type="dxa"/>
            <w:vAlign w:val="center"/>
          </w:tcPr>
          <w:p>
            <w:pPr>
              <w:jc w:val="center"/>
              <w:rPr>
                <w:rFonts w:ascii="宋体" w:hAnsi="宋体" w:eastAsia="宋体"/>
                <w:sz w:val="24"/>
              </w:rPr>
            </w:pPr>
            <w:r>
              <w:rPr>
                <w:rFonts w:hint="eastAsia" w:ascii="宋体" w:hAnsi="宋体" w:eastAsia="宋体"/>
                <w:sz w:val="24"/>
              </w:rPr>
              <w:t>信用衍生工具</w:t>
            </w:r>
          </w:p>
        </w:tc>
        <w:tc>
          <w:tcPr>
            <w:tcW w:w="6212" w:type="dxa"/>
          </w:tcPr>
          <w:p>
            <w:pPr>
              <w:rPr>
                <w:rFonts w:ascii="宋体" w:hAnsi="宋体" w:eastAsia="宋体"/>
                <w:sz w:val="24"/>
              </w:rPr>
            </w:pPr>
            <w:r>
              <w:rPr>
                <w:rFonts w:hint="eastAsia" w:ascii="宋体" w:hAnsi="宋体" w:eastAsia="宋体"/>
                <w:sz w:val="24"/>
              </w:rPr>
              <w:t>（一）信用违约互换、信用违约互换指数、信用风险缓释凭证、信用风险缓释合约、信用保护合约、信用保护凭证等具有信用违约互换功能的信用衍生工具；</w:t>
            </w:r>
          </w:p>
          <w:p>
            <w:pPr>
              <w:rPr>
                <w:rFonts w:ascii="宋体" w:hAnsi="宋体" w:eastAsia="宋体"/>
                <w:sz w:val="24"/>
              </w:rPr>
            </w:pPr>
            <w:r>
              <w:rPr>
                <w:rFonts w:hint="eastAsia" w:ascii="宋体" w:hAnsi="宋体" w:eastAsia="宋体"/>
                <w:sz w:val="24"/>
              </w:rPr>
              <w:t>（二）具有总收益互换功能的信用衍生工具。</w:t>
            </w:r>
          </w:p>
        </w:tc>
      </w:tr>
    </w:tbl>
    <w:p>
      <w:pPr>
        <w:spacing w:line="480" w:lineRule="exact"/>
        <w:ind w:firstLine="600" w:firstLineChars="200"/>
        <w:rPr>
          <w:rFonts w:ascii="仿宋_GB2312" w:hAnsi="Times New Roman" w:eastAsia="仿宋_GB2312"/>
          <w:lang w:val="zh-TW"/>
        </w:rPr>
      </w:pPr>
      <w:r>
        <w:rPr>
          <w:rFonts w:hint="eastAsia" w:ascii="仿宋_GB2312" w:hAnsi="Times New Roman" w:eastAsia="仿宋_GB2312" w:cs="Times New Roman"/>
          <w:sz w:val="30"/>
          <w:szCs w:val="30"/>
          <w:lang w:val="zh-TW"/>
        </w:rPr>
        <w:t>对于第二档商业银行，上表“质物（七）”为“境内外商业银行发行的债券、票据和承兑的汇票”，“保证（四）”为“境内外商业银行”。</w:t>
      </w:r>
    </w:p>
    <w:p>
      <w:pPr>
        <w:pStyle w:val="2"/>
      </w:pPr>
      <w:r>
        <w:rPr>
          <w:rFonts w:hint="eastAsia"/>
        </w:rPr>
        <w:t>六、风险权重底线的豁免</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lang w:val="zh-TW"/>
        </w:rPr>
        <w:t>合格质物质押的风险暴露的风险权重底线为20%。满足</w:t>
      </w:r>
      <w:r>
        <w:rPr>
          <w:rFonts w:hint="eastAsia" w:ascii="仿宋_GB2312" w:hAnsi="Times New Roman" w:eastAsia="仿宋_GB2312" w:cs="Times New Roman"/>
          <w:sz w:val="30"/>
          <w:szCs w:val="30"/>
        </w:rPr>
        <w:t>以下</w:t>
      </w:r>
      <w:r>
        <w:rPr>
          <w:rFonts w:hint="eastAsia" w:ascii="仿宋_GB2312" w:hAnsi="Times New Roman" w:eastAsia="仿宋_GB2312" w:cs="Times New Roman"/>
          <w:sz w:val="30"/>
          <w:szCs w:val="30"/>
          <w:lang w:val="zh-TW"/>
        </w:rPr>
        <w:t>条件的，可豁免风险权重底线要求。</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（一）若回购交易同时满足以下条件，则质物质押的风险暴露可适用10%的风险权重。</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1.质物为现金或是权重法下适用0%风险权重的主权、我国开发性金融机构和政策性银行、视同我国主权的公共部门实体发行的证券。</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2.风险暴露和质物以相同币种估值。</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3.交易是7天（含）以内的，或风险暴露和质物都是逐日盯市和逐日调整保证金。</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4.若交易对手未能调整保证金，在交易对手未调整保证金之前的最后一次盯市与质物清算之间所需要的期限不超过4个交易日。</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5.交易应通过该类型交易适用的结算体系交割。</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6.合同文件是关于证券回购交易的标准市场文件。</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7.交易文件具体说明，如交易对手不能按规定给付现金、证券、保证金或违约，交易能够立即终止。</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8.如出现违约事件，不受交易对手无力清偿或破产的影响，商业银行拥有绝对的、法律上可实施的处置和清算质物的权力。</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（二）若回购交易满足上述（</w:t>
      </w:r>
      <w:r>
        <w:rPr>
          <w:rFonts w:hint="eastAsia" w:ascii="仿宋_GB2312" w:hAnsi="Times New Roman" w:eastAsia="仿宋_GB2312" w:cs="Times New Roman"/>
          <w:sz w:val="30"/>
          <w:szCs w:val="30"/>
          <w:lang w:eastAsia="zh-CN"/>
        </w:rPr>
        <w:t>一</w:t>
      </w:r>
      <w:bookmarkStart w:id="0" w:name="_GoBack"/>
      <w:bookmarkEnd w:id="0"/>
      <w:r>
        <w:rPr>
          <w:rFonts w:hint="eastAsia" w:ascii="仿宋_GB2312" w:hAnsi="Times New Roman" w:eastAsia="仿宋_GB2312" w:cs="Times New Roman"/>
          <w:sz w:val="30"/>
          <w:szCs w:val="30"/>
        </w:rPr>
        <w:t>）中要求，且交易对手为符合以下条件的核心市场参与者，则质物质押的风险暴露可适用0%的风险权重。核心市场参与者的范围包括：</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1.主权、中央银行、公共部门实体、开发性金融机构和政策性银行。</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2.商业银行、证券公司、保险公司、合格多边开发银行。</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3.满足一定资本或杠杆率要求且受监管的资产管理产品。</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4.受监管的养老基金。</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5.合格中央交易对手。</w:t>
      </w:r>
    </w:p>
    <w:p>
      <w:pPr>
        <w:numPr>
          <w:ilvl w:val="255"/>
          <w:numId w:val="0"/>
        </w:numPr>
        <w:spacing w:line="480" w:lineRule="exact"/>
        <w:ind w:firstLine="6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三）场外衍生工具交易若满足逐日盯市、现金质押和无币种错配的条件，则现金质押的风险暴露可适用0%的风险权重；若质物属于权重法下适用0%风险权重的主权、视同我国主权的公共部门实体发行的证券，则质物质押的风险暴露可适用10%的风险权重。</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（四）若质物同时满足以下条件，则质物质押的风险暴露可适用0%的风险权重。</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1.风险暴露和质物的计价货币相同。</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质物属于本附件第五部分表4“质物”项下（一）和（三）要求的现金或存单；或属于权重法下适用0%风险权重的主权、我国开发性金融机构和政策性银行、视同我国主权的公共部门实体发行的证券，且该证券的市场价值至少是风险暴露的1.25倍。</w:t>
      </w:r>
    </w:p>
    <w:p>
      <w:pPr>
        <w:numPr>
          <w:ilvl w:val="255"/>
          <w:numId w:val="0"/>
        </w:numPr>
        <w:spacing w:line="480" w:lineRule="exact"/>
        <w:rPr>
          <w:rFonts w:ascii="仿宋_GB2312" w:hAnsi="Times New Roman" w:eastAsia="仿宋_GB2312" w:cs="Times New Roman"/>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DejaVu Math TeX Gyre">
    <w:panose1 w:val="02000503000000000000"/>
    <w:charset w:val="00"/>
    <w:family w:val="auto"/>
    <w:pitch w:val="default"/>
    <w:sig w:usb0="A10000EF" w:usb1="4201F9EE" w:usb2="02000000" w:usb3="00000000" w:csb0="60000193" w:csb1="0DD4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914510"/>
    </w:sdtPr>
    <w:sdtEndPr>
      <w:rPr>
        <w:rFonts w:ascii="宋体" w:hAnsi="宋体" w:eastAsia="宋体"/>
        <w:sz w:val="21"/>
        <w:szCs w:val="32"/>
      </w:rPr>
    </w:sdtEndPr>
    <w:sdtContent>
      <w:p>
        <w:pPr>
          <w:pStyle w:val="7"/>
          <w:jc w:val="center"/>
          <w:rPr>
            <w:rFonts w:ascii="宋体" w:hAnsi="宋体" w:eastAsia="宋体"/>
            <w:sz w:val="21"/>
            <w:szCs w:val="32"/>
          </w:rPr>
        </w:pPr>
        <w:r>
          <w:rPr>
            <w:rFonts w:ascii="宋体" w:hAnsi="宋体" w:eastAsia="宋体"/>
            <w:sz w:val="21"/>
            <w:szCs w:val="32"/>
          </w:rPr>
          <w:fldChar w:fldCharType="begin"/>
        </w:r>
        <w:r>
          <w:rPr>
            <w:rFonts w:ascii="宋体" w:hAnsi="宋体" w:eastAsia="宋体"/>
            <w:sz w:val="21"/>
            <w:szCs w:val="32"/>
          </w:rPr>
          <w:instrText xml:space="preserve">PAGE   \* MERGEFORMAT</w:instrText>
        </w:r>
        <w:r>
          <w:rPr>
            <w:rFonts w:ascii="宋体" w:hAnsi="宋体" w:eastAsia="宋体"/>
            <w:sz w:val="21"/>
            <w:szCs w:val="32"/>
          </w:rPr>
          <w:fldChar w:fldCharType="separate"/>
        </w:r>
        <w:r>
          <w:rPr>
            <w:rFonts w:ascii="宋体" w:hAnsi="宋体" w:eastAsia="宋体"/>
            <w:sz w:val="21"/>
            <w:szCs w:val="32"/>
            <w:lang w:val="zh-CN"/>
          </w:rPr>
          <w:t>4</w:t>
        </w:r>
        <w:r>
          <w:rPr>
            <w:rFonts w:ascii="宋体" w:hAnsi="宋体" w:eastAsia="宋体"/>
            <w:sz w:val="21"/>
            <w:szCs w:val="32"/>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kZTUwZDg4OGNlMmFiY2NmMGY3MjY4MWFhMmM1YjIifQ=="/>
  </w:docVars>
  <w:rsids>
    <w:rsidRoot w:val="0023618A"/>
    <w:rsid w:val="0000032A"/>
    <w:rsid w:val="000135A9"/>
    <w:rsid w:val="00025E1F"/>
    <w:rsid w:val="000322E9"/>
    <w:rsid w:val="0004054B"/>
    <w:rsid w:val="000450CB"/>
    <w:rsid w:val="00070AF2"/>
    <w:rsid w:val="000800C0"/>
    <w:rsid w:val="00092DF7"/>
    <w:rsid w:val="00095E7A"/>
    <w:rsid w:val="000E120F"/>
    <w:rsid w:val="000E1C7A"/>
    <w:rsid w:val="000F1AFA"/>
    <w:rsid w:val="00132775"/>
    <w:rsid w:val="001970D3"/>
    <w:rsid w:val="001C4D43"/>
    <w:rsid w:val="001E5D6D"/>
    <w:rsid w:val="0023618A"/>
    <w:rsid w:val="0027631D"/>
    <w:rsid w:val="002957D3"/>
    <w:rsid w:val="00355ABF"/>
    <w:rsid w:val="00384F71"/>
    <w:rsid w:val="003B2530"/>
    <w:rsid w:val="003C5B3E"/>
    <w:rsid w:val="00402F51"/>
    <w:rsid w:val="00421B4A"/>
    <w:rsid w:val="00456166"/>
    <w:rsid w:val="004D4619"/>
    <w:rsid w:val="004D76F7"/>
    <w:rsid w:val="0050479A"/>
    <w:rsid w:val="00537875"/>
    <w:rsid w:val="00594236"/>
    <w:rsid w:val="005A0759"/>
    <w:rsid w:val="005C4E46"/>
    <w:rsid w:val="005D7C18"/>
    <w:rsid w:val="00603BFE"/>
    <w:rsid w:val="00615417"/>
    <w:rsid w:val="00617CB3"/>
    <w:rsid w:val="006A55C8"/>
    <w:rsid w:val="006C0D32"/>
    <w:rsid w:val="006E3A42"/>
    <w:rsid w:val="006F46C9"/>
    <w:rsid w:val="006F6211"/>
    <w:rsid w:val="0076378C"/>
    <w:rsid w:val="007860A8"/>
    <w:rsid w:val="0079264A"/>
    <w:rsid w:val="007C279C"/>
    <w:rsid w:val="007C4444"/>
    <w:rsid w:val="007D1FD1"/>
    <w:rsid w:val="007F331F"/>
    <w:rsid w:val="008A0817"/>
    <w:rsid w:val="008B3F45"/>
    <w:rsid w:val="009101B2"/>
    <w:rsid w:val="00915322"/>
    <w:rsid w:val="00917A36"/>
    <w:rsid w:val="009254A2"/>
    <w:rsid w:val="009268B4"/>
    <w:rsid w:val="00973831"/>
    <w:rsid w:val="0098094F"/>
    <w:rsid w:val="009B6738"/>
    <w:rsid w:val="009D25AA"/>
    <w:rsid w:val="009F0E91"/>
    <w:rsid w:val="00A2438B"/>
    <w:rsid w:val="00A27463"/>
    <w:rsid w:val="00A50B7D"/>
    <w:rsid w:val="00A56A95"/>
    <w:rsid w:val="00A614B0"/>
    <w:rsid w:val="00AC1263"/>
    <w:rsid w:val="00AF1AB5"/>
    <w:rsid w:val="00B11203"/>
    <w:rsid w:val="00B50D55"/>
    <w:rsid w:val="00B6340A"/>
    <w:rsid w:val="00BA586A"/>
    <w:rsid w:val="00BC4CB1"/>
    <w:rsid w:val="00BD13A4"/>
    <w:rsid w:val="00BE143F"/>
    <w:rsid w:val="00C02298"/>
    <w:rsid w:val="00C10F67"/>
    <w:rsid w:val="00C21679"/>
    <w:rsid w:val="00C648C0"/>
    <w:rsid w:val="00C924BA"/>
    <w:rsid w:val="00CC7C01"/>
    <w:rsid w:val="00CE6987"/>
    <w:rsid w:val="00D13264"/>
    <w:rsid w:val="00D1450F"/>
    <w:rsid w:val="00D50014"/>
    <w:rsid w:val="00D61D93"/>
    <w:rsid w:val="00DF0C73"/>
    <w:rsid w:val="00DF1875"/>
    <w:rsid w:val="00E607A3"/>
    <w:rsid w:val="00E7160F"/>
    <w:rsid w:val="00E73EA3"/>
    <w:rsid w:val="00EE0F8E"/>
    <w:rsid w:val="00EF6F74"/>
    <w:rsid w:val="00F37D1A"/>
    <w:rsid w:val="00F533FA"/>
    <w:rsid w:val="00F777A8"/>
    <w:rsid w:val="020B340F"/>
    <w:rsid w:val="022C040D"/>
    <w:rsid w:val="02FF4D3F"/>
    <w:rsid w:val="03C14302"/>
    <w:rsid w:val="0420704C"/>
    <w:rsid w:val="04D71DC5"/>
    <w:rsid w:val="05984F8E"/>
    <w:rsid w:val="05EA7E29"/>
    <w:rsid w:val="072E0D9E"/>
    <w:rsid w:val="073D5DFE"/>
    <w:rsid w:val="07A92863"/>
    <w:rsid w:val="07D66BC0"/>
    <w:rsid w:val="07D7231B"/>
    <w:rsid w:val="0B477EA4"/>
    <w:rsid w:val="0BC63F1B"/>
    <w:rsid w:val="0C894B7B"/>
    <w:rsid w:val="0D274ECD"/>
    <w:rsid w:val="0D813204"/>
    <w:rsid w:val="0F435035"/>
    <w:rsid w:val="141776C9"/>
    <w:rsid w:val="17DA5B7D"/>
    <w:rsid w:val="17E251B2"/>
    <w:rsid w:val="19346CEA"/>
    <w:rsid w:val="1CDF92F3"/>
    <w:rsid w:val="1CF07A7F"/>
    <w:rsid w:val="1F4D0551"/>
    <w:rsid w:val="1F833604"/>
    <w:rsid w:val="2057347C"/>
    <w:rsid w:val="20C71909"/>
    <w:rsid w:val="219D6B8F"/>
    <w:rsid w:val="21D20B0F"/>
    <w:rsid w:val="224C7966"/>
    <w:rsid w:val="230672FF"/>
    <w:rsid w:val="250906B5"/>
    <w:rsid w:val="276C216A"/>
    <w:rsid w:val="27C34F1C"/>
    <w:rsid w:val="283A2C4F"/>
    <w:rsid w:val="29654214"/>
    <w:rsid w:val="2A1A69D3"/>
    <w:rsid w:val="2A616FE2"/>
    <w:rsid w:val="2CDB3488"/>
    <w:rsid w:val="2DC375A3"/>
    <w:rsid w:val="2EF77EBC"/>
    <w:rsid w:val="30F6635B"/>
    <w:rsid w:val="32277B1B"/>
    <w:rsid w:val="33567AB9"/>
    <w:rsid w:val="3374535C"/>
    <w:rsid w:val="33787D1C"/>
    <w:rsid w:val="33AB3726"/>
    <w:rsid w:val="34CB4256"/>
    <w:rsid w:val="37DD55FB"/>
    <w:rsid w:val="37F12818"/>
    <w:rsid w:val="3999195D"/>
    <w:rsid w:val="3A9E2E1C"/>
    <w:rsid w:val="3ADE03B0"/>
    <w:rsid w:val="3BD762EE"/>
    <w:rsid w:val="3C496A39"/>
    <w:rsid w:val="3C6A3AA7"/>
    <w:rsid w:val="3CA906FF"/>
    <w:rsid w:val="3CAD0F66"/>
    <w:rsid w:val="3D212F49"/>
    <w:rsid w:val="3E085537"/>
    <w:rsid w:val="3E6F08DE"/>
    <w:rsid w:val="3EAB7CBD"/>
    <w:rsid w:val="402A2B17"/>
    <w:rsid w:val="406703CF"/>
    <w:rsid w:val="41092789"/>
    <w:rsid w:val="414F0138"/>
    <w:rsid w:val="419C4521"/>
    <w:rsid w:val="42E3392A"/>
    <w:rsid w:val="43A91315"/>
    <w:rsid w:val="44886D04"/>
    <w:rsid w:val="45AE2993"/>
    <w:rsid w:val="493B21A3"/>
    <w:rsid w:val="497F6CD5"/>
    <w:rsid w:val="4AEA75E5"/>
    <w:rsid w:val="4BA21C6C"/>
    <w:rsid w:val="4C9D5321"/>
    <w:rsid w:val="4D707CC3"/>
    <w:rsid w:val="4D7D1AB0"/>
    <w:rsid w:val="4DAE03A7"/>
    <w:rsid w:val="4DD6596D"/>
    <w:rsid w:val="4FC75079"/>
    <w:rsid w:val="4FDF7F43"/>
    <w:rsid w:val="50B63BE7"/>
    <w:rsid w:val="50BD0837"/>
    <w:rsid w:val="51A95195"/>
    <w:rsid w:val="51B948C7"/>
    <w:rsid w:val="53F257EF"/>
    <w:rsid w:val="54EA10C5"/>
    <w:rsid w:val="54ED4C14"/>
    <w:rsid w:val="55075BDF"/>
    <w:rsid w:val="56D33838"/>
    <w:rsid w:val="57573708"/>
    <w:rsid w:val="5779E050"/>
    <w:rsid w:val="5784143F"/>
    <w:rsid w:val="58871729"/>
    <w:rsid w:val="58C67483"/>
    <w:rsid w:val="59B6222F"/>
    <w:rsid w:val="5AD75547"/>
    <w:rsid w:val="5B3F549A"/>
    <w:rsid w:val="5BA94B6E"/>
    <w:rsid w:val="5BFFDC2C"/>
    <w:rsid w:val="5E0B6ECB"/>
    <w:rsid w:val="5E7F10EC"/>
    <w:rsid w:val="5E9940B7"/>
    <w:rsid w:val="5F1043DE"/>
    <w:rsid w:val="60A36C2E"/>
    <w:rsid w:val="61032E19"/>
    <w:rsid w:val="613B0F6B"/>
    <w:rsid w:val="619109D3"/>
    <w:rsid w:val="6252165B"/>
    <w:rsid w:val="62640B6F"/>
    <w:rsid w:val="6362018C"/>
    <w:rsid w:val="6379632F"/>
    <w:rsid w:val="63DF2966"/>
    <w:rsid w:val="65576680"/>
    <w:rsid w:val="657431DE"/>
    <w:rsid w:val="6588388C"/>
    <w:rsid w:val="66E3137A"/>
    <w:rsid w:val="67EFF3EF"/>
    <w:rsid w:val="68782E21"/>
    <w:rsid w:val="6A2B2013"/>
    <w:rsid w:val="6A4456AF"/>
    <w:rsid w:val="6D4D4588"/>
    <w:rsid w:val="71E65FC0"/>
    <w:rsid w:val="72EF3D06"/>
    <w:rsid w:val="72F42FB4"/>
    <w:rsid w:val="736B0FAE"/>
    <w:rsid w:val="737D6901"/>
    <w:rsid w:val="74FCFD17"/>
    <w:rsid w:val="756F7A68"/>
    <w:rsid w:val="75DA4AA1"/>
    <w:rsid w:val="75F450C2"/>
    <w:rsid w:val="766C26D3"/>
    <w:rsid w:val="77C00343"/>
    <w:rsid w:val="78663A00"/>
    <w:rsid w:val="7903481D"/>
    <w:rsid w:val="7A2D7777"/>
    <w:rsid w:val="7A846A9B"/>
    <w:rsid w:val="7AD86AE3"/>
    <w:rsid w:val="7BBC9BEE"/>
    <w:rsid w:val="7BF70B75"/>
    <w:rsid w:val="7CE21C30"/>
    <w:rsid w:val="7CFA5C63"/>
    <w:rsid w:val="7D0D54BA"/>
    <w:rsid w:val="7D110470"/>
    <w:rsid w:val="7E842DBD"/>
    <w:rsid w:val="7E905E7C"/>
    <w:rsid w:val="7FCF0CC2"/>
    <w:rsid w:val="BE6FF84E"/>
    <w:rsid w:val="BFDB9030"/>
    <w:rsid w:val="DBE70FD4"/>
    <w:rsid w:val="E1660FE3"/>
    <w:rsid w:val="E76F8447"/>
    <w:rsid w:val="FB3FE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3"/>
    <w:next w:val="1"/>
    <w:link w:val="19"/>
    <w:qFormat/>
    <w:uiPriority w:val="0"/>
    <w:pPr>
      <w:outlineLvl w:val="1"/>
    </w:pPr>
  </w:style>
  <w:style w:type="paragraph" w:styleId="3">
    <w:name w:val="heading 3"/>
    <w:basedOn w:val="4"/>
    <w:next w:val="1"/>
    <w:link w:val="20"/>
    <w:qFormat/>
    <w:uiPriority w:val="0"/>
    <w:pPr>
      <w:ind w:left="0" w:leftChars="0" w:firstLine="600" w:firstLineChars="200"/>
      <w:jc w:val="left"/>
      <w:outlineLvl w:val="2"/>
    </w:pPr>
    <w:rPr>
      <w:rFonts w:ascii="黑体" w:hAnsi="黑体" w:eastAsia="黑体" w:cs="Times New Roman"/>
      <w:smallCaps/>
      <w:sz w:val="30"/>
      <w:szCs w:val="3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toc 2"/>
    <w:basedOn w:val="1"/>
    <w:next w:val="1"/>
    <w:qFormat/>
    <w:uiPriority w:val="0"/>
    <w:pPr>
      <w:ind w:left="420" w:leftChars="200"/>
    </w:pPr>
  </w:style>
  <w:style w:type="paragraph" w:styleId="5">
    <w:name w:val="annotation text"/>
    <w:basedOn w:val="1"/>
    <w:link w:val="27"/>
    <w:unhideWhenUsed/>
    <w:qFormat/>
    <w:uiPriority w:val="0"/>
    <w:pPr>
      <w:jc w:val="left"/>
    </w:pPr>
  </w:style>
  <w:style w:type="paragraph" w:styleId="6">
    <w:name w:val="Balloon Text"/>
    <w:basedOn w:val="1"/>
    <w:link w:val="18"/>
    <w:qFormat/>
    <w:uiPriority w:val="0"/>
    <w:rPr>
      <w:sz w:val="18"/>
      <w:szCs w:val="18"/>
    </w:rPr>
  </w:style>
  <w:style w:type="paragraph" w:styleId="7">
    <w:name w:val="footer"/>
    <w:basedOn w:val="1"/>
    <w:link w:val="22"/>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Body Text Indent 3"/>
    <w:basedOn w:val="1"/>
    <w:link w:val="17"/>
    <w:qFormat/>
    <w:uiPriority w:val="0"/>
    <w:pPr>
      <w:ind w:firstLine="537" w:firstLineChars="179"/>
    </w:pPr>
    <w:rPr>
      <w:rFonts w:ascii="Times New Roman" w:hAnsi="Times New Roman" w:eastAsia="宋体" w:cs="Times New Roman"/>
      <w:sz w:val="30"/>
    </w:rPr>
  </w:style>
  <w:style w:type="paragraph" w:styleId="11">
    <w:name w:val="annotation subject"/>
    <w:basedOn w:val="5"/>
    <w:next w:val="5"/>
    <w:link w:val="28"/>
    <w:semiHidden/>
    <w:unhideWhenUsed/>
    <w:qFormat/>
    <w:uiPriority w:val="0"/>
    <w:rPr>
      <w:b/>
      <w:bCs/>
    </w:rPr>
  </w:style>
  <w:style w:type="character" w:styleId="14">
    <w:name w:val="annotation reference"/>
    <w:basedOn w:val="13"/>
    <w:semiHidden/>
    <w:unhideWhenUsed/>
    <w:qFormat/>
    <w:uiPriority w:val="0"/>
    <w:rPr>
      <w:sz w:val="21"/>
      <w:szCs w:val="21"/>
    </w:rPr>
  </w:style>
  <w:style w:type="paragraph" w:customStyle="1" w:styleId="15">
    <w:name w:val="TableColumnHeading"/>
    <w:basedOn w:val="1"/>
    <w:next w:val="1"/>
    <w:qFormat/>
    <w:uiPriority w:val="0"/>
    <w:pPr>
      <w:autoSpaceDE w:val="0"/>
      <w:autoSpaceDN w:val="0"/>
      <w:adjustRightInd w:val="0"/>
      <w:jc w:val="left"/>
    </w:pPr>
    <w:rPr>
      <w:rFonts w:ascii="Arial" w:hAnsi="Arial" w:eastAsia="宋体" w:cs="Arial"/>
      <w:kern w:val="0"/>
      <w:sz w:val="24"/>
    </w:rPr>
  </w:style>
  <w:style w:type="paragraph" w:customStyle="1" w:styleId="16">
    <w:name w:val="Default"/>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 w:type="character" w:customStyle="1" w:styleId="17">
    <w:name w:val="正文文本缩进 3 字符"/>
    <w:basedOn w:val="13"/>
    <w:link w:val="10"/>
    <w:qFormat/>
    <w:uiPriority w:val="0"/>
    <w:rPr>
      <w:rFonts w:ascii="Times New Roman" w:hAnsi="Times New Roman" w:eastAsia="宋体" w:cs="Times New Roman"/>
      <w:kern w:val="2"/>
      <w:sz w:val="30"/>
      <w:szCs w:val="24"/>
    </w:rPr>
  </w:style>
  <w:style w:type="character" w:customStyle="1" w:styleId="18">
    <w:name w:val="批注框文本 字符"/>
    <w:basedOn w:val="13"/>
    <w:link w:val="6"/>
    <w:qFormat/>
    <w:uiPriority w:val="0"/>
    <w:rPr>
      <w:kern w:val="2"/>
      <w:sz w:val="18"/>
      <w:szCs w:val="18"/>
    </w:rPr>
  </w:style>
  <w:style w:type="character" w:customStyle="1" w:styleId="19">
    <w:name w:val="标题 2 字符"/>
    <w:basedOn w:val="13"/>
    <w:link w:val="2"/>
    <w:qFormat/>
    <w:uiPriority w:val="0"/>
    <w:rPr>
      <w:rFonts w:ascii="黑体" w:hAnsi="黑体" w:eastAsia="黑体" w:cs="Times New Roman"/>
      <w:smallCaps/>
      <w:kern w:val="2"/>
      <w:sz w:val="30"/>
      <w:szCs w:val="30"/>
    </w:rPr>
  </w:style>
  <w:style w:type="character" w:customStyle="1" w:styleId="20">
    <w:name w:val="标题 3 字符"/>
    <w:basedOn w:val="13"/>
    <w:link w:val="3"/>
    <w:qFormat/>
    <w:uiPriority w:val="0"/>
    <w:rPr>
      <w:rFonts w:ascii="黑体" w:hAnsi="黑体" w:eastAsia="黑体" w:cs="Times New Roman"/>
      <w:smallCaps/>
      <w:kern w:val="2"/>
      <w:sz w:val="30"/>
      <w:szCs w:val="30"/>
    </w:rPr>
  </w:style>
  <w:style w:type="character" w:customStyle="1" w:styleId="21">
    <w:name w:val="占位符文本1"/>
    <w:basedOn w:val="13"/>
    <w:unhideWhenUsed/>
    <w:qFormat/>
    <w:uiPriority w:val="99"/>
    <w:rPr>
      <w:color w:val="808080"/>
    </w:rPr>
  </w:style>
  <w:style w:type="character" w:customStyle="1" w:styleId="22">
    <w:name w:val="页脚 字符"/>
    <w:basedOn w:val="13"/>
    <w:link w:val="7"/>
    <w:qFormat/>
    <w:uiPriority w:val="99"/>
    <w:rPr>
      <w:kern w:val="2"/>
      <w:sz w:val="18"/>
      <w:szCs w:val="24"/>
    </w:rPr>
  </w:style>
  <w:style w:type="paragraph" w:customStyle="1" w:styleId="23">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4">
    <w:name w:val="修订2"/>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5">
    <w:name w:val="修订3"/>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6">
    <w:name w:val="修订4"/>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7">
    <w:name w:val="批注文字 字符"/>
    <w:basedOn w:val="13"/>
    <w:link w:val="5"/>
    <w:qFormat/>
    <w:uiPriority w:val="0"/>
    <w:rPr>
      <w:kern w:val="2"/>
      <w:sz w:val="21"/>
      <w:szCs w:val="24"/>
    </w:rPr>
  </w:style>
  <w:style w:type="character" w:customStyle="1" w:styleId="28">
    <w:name w:val="批注主题 字符"/>
    <w:basedOn w:val="27"/>
    <w:link w:val="11"/>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1494</Words>
  <Characters>8520</Characters>
  <Lines>71</Lines>
  <Paragraphs>19</Paragraphs>
  <TotalTime>3</TotalTime>
  <ScaleCrop>false</ScaleCrop>
  <LinksUpToDate>false</LinksUpToDate>
  <CharactersWithSpaces>9995</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2021-12-23T09:17:00Z</dcterms:created>
  <dc:creator>liucs</dc:creator>
  <cp:lastModifiedBy>陈静</cp:lastModifiedBy>
  <dcterms:modified xsi:type="dcterms:W3CDTF">2023-11-01T03:12:54Z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02F578E5562242A4A4F66399E5C29BA3_13</vt:lpwstr>
  </property>
</Properties>
</file>