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关于《国家税务总局沈阳市税务局关于修订&lt;</w:t>
      </w:r>
      <w:r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国家税务总局沈阳市税务局关于开展发票摇奖活动有关事项的公告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&gt;的公告》的解读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 w:bidi="ar"/>
        </w:rPr>
        <w:t>(征求意见稿)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72" w:lineRule="exact"/>
        <w:ind w:left="0" w:right="0" w:firstLine="569" w:firstLineChars="271"/>
        <w:textAlignment w:val="auto"/>
        <w:rPr>
          <w:rFonts w:hint="eastAsia" w:ascii="微软雅黑" w:hAnsi="微软雅黑" w:eastAsia="微软雅黑" w:cs="微软雅黑"/>
          <w:vanish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72" w:lineRule="exact"/>
        <w:ind w:left="0" w:right="0" w:firstLine="569" w:firstLineChars="271"/>
        <w:textAlignment w:val="auto"/>
        <w:rPr>
          <w:rFonts w:hint="eastAsia" w:ascii="微软雅黑" w:hAnsi="微软雅黑" w:eastAsia="微软雅黑" w:cs="微软雅黑"/>
          <w:vanish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72" w:lineRule="exact"/>
        <w:ind w:left="0" w:right="0" w:firstLine="569" w:firstLineChars="271"/>
        <w:textAlignment w:val="auto"/>
        <w:rPr>
          <w:vanish/>
        </w:rPr>
      </w:pPr>
      <w:r>
        <w:rPr>
          <w:rFonts w:hint="eastAsia" w:ascii="微软雅黑" w:hAnsi="微软雅黑" w:eastAsia="微软雅黑" w:cs="微软雅黑"/>
          <w:vanish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vanish/>
        </w:rPr>
        <w:t>注释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一、</w:t>
      </w:r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修订《</w:t>
      </w:r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公告</w:t>
      </w:r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》的背景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《</w:t>
      </w: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国家税务总局沈阳市税务局关于开展发票摇奖活动有关事项的公告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》（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国家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税务总局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沈阳市税务局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公告20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年第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号发布）自20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5月1日实施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以来，广大消费者积极参与发票摇奖活动，社会反响良好。为进一步提升沈阳发票摇奖的社会参与度，营造健康公平的税收环境，有力促进沈阳经济高质量发展，国家税务总局沈阳市税务局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原公告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进行了修订，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进一步规范摇奖相关事项，持续优化升级系统，将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eastAsia="zh-CN"/>
        </w:rPr>
        <w:t>全面数字化的电子发票纳入发票摇奖范围，同时自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val="en-US" w:eastAsia="zh-CN"/>
        </w:rPr>
        <w:t>2024年1月1日起，增设微信小程序参与摇奖渠道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，进一步扩大了沈阳市发票摇奖的参与范围和参与方式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br w:type="textWrapping"/>
      </w:r>
      <w:r>
        <w:rPr>
          <w:rStyle w:val="8"/>
          <w:rFonts w:hint="eastAsia" w:ascii="黑体" w:hAnsi="黑体" w:eastAsia="黑体" w:cs="黑体"/>
          <w:b/>
          <w:bCs w:val="0"/>
          <w:color w:val="333333"/>
          <w:sz w:val="32"/>
          <w:szCs w:val="32"/>
          <w:lang w:eastAsia="zh-CN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　二、修订的主要考虑</w:t>
      </w:r>
      <w:r>
        <w:rPr>
          <w:rStyle w:val="8"/>
          <w:rFonts w:hint="eastAsia" w:ascii="微软雅黑" w:hAnsi="微软雅黑" w:eastAsia="微软雅黑" w:cs="微软雅黑"/>
          <w:b/>
          <w:bCs w:val="0"/>
          <w:color w:val="333333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修订主要有以下考虑：一是紧扣主题教育要求，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增设参与渠道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。坚持问题导向，针对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消费者反映的诉求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不断优化升级发票摇奖活动，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val="en-US" w:eastAsia="zh-CN"/>
        </w:rPr>
        <w:t>增设微信小程序参与摇奖渠道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为消费者参与发票摇奖提供便利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。二是着眼新形势新要求，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扩大参与范围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在全国范围内率先将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eastAsia="zh-CN"/>
        </w:rPr>
        <w:t>全面数字化的电子发票纳入发票摇奖范围，从而有效提升发票摇奖活动的社会参与度。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规范发票摇奖相关事项，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保障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消费者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权益。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要求消费者实名开票，禁止盗取他人发票参与摇奖，从而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最大程度保障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消费者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合法权益。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-200" w:firstLine="1280" w:firstLineChars="400"/>
        <w:jc w:val="both"/>
        <w:textAlignment w:val="auto"/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三、修订的主要内容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（一）原公告第一条中的“</w:t>
      </w:r>
      <w:r>
        <w:rPr>
          <w:rFonts w:ascii="仿宋_GB2312" w:eastAsia="仿宋_GB2312" w:cs="仿宋_GB2312"/>
          <w:color w:val="000000"/>
          <w:sz w:val="32"/>
          <w:szCs w:val="32"/>
        </w:rPr>
        <w:t>沈阳市行政区域内从事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批发和零售业，住宿和餐饮业，出租车和网约车行业，建筑装饰、装修和其他建筑业，物业管理和房地产中介服务业，租赁和商务服务业，居民服务、修理和其他服务业，教育业，文化、体育和娱乐业的纳税人从2023年4月1日起通过增值税发票管理系统向个人消费者 （自然人）开具的，并经过验证的增值税普通发票 （含增值税电子普通发票）。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修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改为“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沈阳市行政区域内从事批发和零售业，住宿和餐饮业，出租车和网约车行业，建筑装饰、装修和其他建筑业，物业管理和房地产中介服务业，租赁和商务服务业，居民服务、修理和其他服务业，教育业，文化、体育和娱乐业的纳税人从2023年4月1日起向个人消费者（自然人）开具的增值税普通发票（含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增值税卷式普通发票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增值税电子普通发票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、全面数字化的电子发票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，发票购买方名称应为消费者本人实名。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原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公告第二条第（一）项中的“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第一次开奖采取即时开奖方式，个人消费者取得增值税普通发票后，通过支付宝 APP进入发票摇奖系统，扫描发票左上</w:t>
      </w:r>
      <w:r>
        <w:rPr>
          <w:rFonts w:hint="default" w:ascii="仿宋_GB2312" w:eastAsia="仿宋_GB2312" w:cs="仿宋_GB2312"/>
          <w:color w:val="000000"/>
          <w:sz w:val="32"/>
          <w:szCs w:val="32"/>
          <w:highlight w:val="none"/>
        </w:rPr>
        <w:t>角二维码或手工录入发票信息，通过系统查验后，参与即时开奖。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修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改为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/>
          <w:lang w:val="en-US" w:eastAsia="zh-CN"/>
        </w:rPr>
        <w:t xml:space="preserve"> 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第一次开奖采取即时开奖方式，个人消费者取得增值税普通发票后，通过支付宝APP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eastAsia="zh-CN"/>
        </w:rPr>
        <w:t>或“沈阳税务”微信小程序</w:t>
      </w:r>
      <w:r>
        <w:rPr>
          <w:rFonts w:hint="default" w:ascii="仿宋_GB2312" w:eastAsia="仿宋_GB2312" w:cs="仿宋_GB2312"/>
          <w:b w:val="0"/>
          <w:bCs w:val="0"/>
          <w:color w:val="000000"/>
          <w:sz w:val="31"/>
          <w:szCs w:val="31"/>
        </w:rPr>
        <w:t>进入发票摇奖系统，扫描发票左上角二维码或手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工录入发票信息，通过系统查验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lang w:eastAsia="zh-CN"/>
        </w:rPr>
        <w:t>并实名认证</w:t>
      </w:r>
      <w:r>
        <w:rPr>
          <w:rFonts w:hint="default" w:ascii="仿宋_GB2312" w:eastAsia="仿宋_GB2312" w:cs="仿宋_GB2312"/>
          <w:b w:val="0"/>
          <w:bCs w:val="0"/>
          <w:color w:val="000000"/>
          <w:sz w:val="31"/>
          <w:szCs w:val="31"/>
        </w:rPr>
        <w:t>后，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参与即时开奖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</w:pPr>
      <w:r>
        <w:rPr>
          <w:rFonts w:hint="eastAsia" w:ascii="仿宋_GB2312" w:eastAsia="仿宋_GB2312" w:cs="仿宋_GB2312" w:hAnsiTheme="minorHAnsi"/>
          <w:b w:val="0"/>
          <w:bCs w:val="0"/>
          <w:color w:val="000000"/>
          <w:kern w:val="2"/>
          <w:sz w:val="31"/>
          <w:szCs w:val="31"/>
          <w:lang w:val="en-US" w:eastAsia="zh-CN" w:bidi="ar-SA"/>
        </w:rPr>
        <w:t>（三）</w:t>
      </w:r>
      <w:r>
        <w:rPr>
          <w:rFonts w:hint="eastAsia" w:ascii="仿宋_GB2312" w:eastAsia="仿宋_GB2312" w:cs="仿宋_GB2312"/>
          <w:b w:val="0"/>
          <w:bCs w:val="0"/>
          <w:color w:val="000000"/>
          <w:kern w:val="2"/>
          <w:sz w:val="31"/>
          <w:szCs w:val="31"/>
          <w:highlight w:val="none"/>
          <w:lang w:val="en-US" w:eastAsia="zh-CN" w:bidi="ar-SA"/>
        </w:rPr>
        <w:t>原</w:t>
      </w:r>
      <w:r>
        <w:rPr>
          <w:rFonts w:hint="eastAsia" w:ascii="仿宋_GB2312" w:eastAsia="仿宋_GB2312" w:cs="仿宋_GB2312" w:hAnsiTheme="minorHAnsi"/>
          <w:b w:val="0"/>
          <w:bCs w:val="0"/>
          <w:color w:val="000000"/>
          <w:kern w:val="2"/>
          <w:sz w:val="31"/>
          <w:szCs w:val="31"/>
          <w:highlight w:val="none"/>
          <w:lang w:val="en-US" w:eastAsia="zh-CN" w:bidi="ar-SA"/>
        </w:rPr>
        <w:t>公告第二条第</w:t>
      </w:r>
      <w:r>
        <w:rPr>
          <w:rFonts w:hint="eastAsia" w:ascii="仿宋_GB2312" w:eastAsia="仿宋_GB2312" w:cs="仿宋_GB2312"/>
          <w:b w:val="0"/>
          <w:bCs w:val="0"/>
          <w:color w:val="000000"/>
          <w:kern w:val="2"/>
          <w:sz w:val="31"/>
          <w:szCs w:val="31"/>
          <w:highlight w:val="none"/>
          <w:lang w:val="en-US" w:eastAsia="zh-CN" w:bidi="ar-SA"/>
        </w:rPr>
        <w:t>（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二</w:t>
      </w:r>
      <w:r>
        <w:rPr>
          <w:rFonts w:hint="eastAsia" w:ascii="仿宋_GB2312" w:eastAsia="仿宋_GB2312" w:cs="仿宋_GB2312"/>
          <w:b w:val="0"/>
          <w:bCs w:val="0"/>
          <w:color w:val="000000"/>
          <w:kern w:val="2"/>
          <w:sz w:val="31"/>
          <w:szCs w:val="31"/>
          <w:highlight w:val="none"/>
          <w:lang w:val="en-US" w:eastAsia="zh-CN" w:bidi="ar-SA"/>
        </w:rPr>
        <w:t>）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项中的“2.</w:t>
      </w:r>
      <w:r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购买方</w:t>
      </w:r>
      <w:r>
        <w:rPr>
          <w:rFonts w:hint="default" w:ascii="仿宋_GB2312" w:eastAsia="仿宋_GB2312" w:cs="仿宋_GB2312"/>
          <w:color w:val="000000"/>
          <w:sz w:val="31"/>
          <w:szCs w:val="31"/>
          <w:highlight w:val="none"/>
        </w:rPr>
        <w:t>为个人的；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val="en-US" w:eastAsia="zh-CN"/>
        </w:rPr>
        <w:t>”修改为“2.</w:t>
      </w:r>
      <w:r>
        <w:rPr>
          <w:rFonts w:hint="default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  <w:t>购买方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  <w:t>名称</w:t>
      </w:r>
      <w:r>
        <w:rPr>
          <w:rFonts w:hint="default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  <w:t>为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  <w:t>消费者本人实名的</w:t>
      </w:r>
      <w:r>
        <w:rPr>
          <w:rFonts w:hint="default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  <w:t>；</w:t>
      </w:r>
      <w:r>
        <w:rPr>
          <w:rFonts w:hint="eastAsia" w:ascii="仿宋_GB2312" w:eastAsia="仿宋_GB2312" w:cs="仿宋_GB2312"/>
          <w:b w:val="0"/>
          <w:bCs w:val="0"/>
          <w:color w:val="000000"/>
          <w:sz w:val="31"/>
          <w:szCs w:val="31"/>
          <w:highlight w:val="none"/>
          <w:lang w:eastAsia="zh-CN"/>
        </w:rPr>
        <w:t>”</w:t>
      </w:r>
    </w:p>
    <w:p>
      <w:pPr>
        <w:pStyle w:val="4"/>
        <w:keepNext w:val="0"/>
        <w:keepLines w:val="0"/>
        <w:widowControl/>
        <w:suppressLineNumbers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（四）原公告第三条第</w:t>
      </w:r>
      <w:r>
        <w:rPr>
          <w:rFonts w:hint="eastAsia" w:ascii="仿宋_GB2312" w:eastAsia="仿宋_GB2312" w:cs="仿宋_GB2312" w:hAnsiTheme="minorHAnsi"/>
          <w:b w:val="0"/>
          <w:bCs w:val="0"/>
          <w:color w:val="000000"/>
          <w:kern w:val="2"/>
          <w:sz w:val="31"/>
          <w:szCs w:val="31"/>
          <w:highlight w:val="none"/>
          <w:lang w:val="en-US" w:eastAsia="zh-CN" w:bidi="ar-SA"/>
        </w:rPr>
        <w:t>（一）项中的“</w:t>
      </w:r>
      <w:r>
        <w:rPr>
          <w:rFonts w:ascii="仿宋_GB2312" w:eastAsia="仿宋_GB2312" w:cs="仿宋_GB2312"/>
          <w:color w:val="000000"/>
          <w:sz w:val="31"/>
          <w:szCs w:val="31"/>
          <w:highlight w:val="none"/>
        </w:rPr>
        <w:t>第一次开奖的中奖奖金通过</w:t>
      </w:r>
      <w:r>
        <w:rPr>
          <w:rFonts w:hint="default" w:ascii="仿宋_GB2312" w:eastAsia="仿宋_GB2312" w:cs="仿宋_GB2312"/>
          <w:color w:val="000000"/>
          <w:sz w:val="31"/>
          <w:szCs w:val="31"/>
          <w:highlight w:val="none"/>
        </w:rPr>
        <w:t>支付宝即时给付，奖金直接发放到中奖人的支付宝账户中。一个支付宝账号每日有5次参与摇奖资格，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次日可继续参与摇奖。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”修改为“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第一次开奖的中奖奖金通过支付宝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（微信）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即时给付，奖金直接发放到中奖人的支付宝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（微信）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账户中。一个支付宝账号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或微信账号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每日有5次参与摇奖资格，次日可继续参与摇奖。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</w:t>
      </w:r>
    </w:p>
    <w:p>
      <w:pPr>
        <w:pStyle w:val="4"/>
        <w:keepNext w:val="0"/>
        <w:keepLines w:val="0"/>
        <w:widowControl/>
        <w:suppressLineNumbers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（五）原公告第三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条第（二）项中的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第二次开奖的中奖奖金以银行转账方式给付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”修改为“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第二次开奖的中奖奖金以银行转账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或支付宝（微信）余额转账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方式给付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，中奖者可自主选择。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</w:t>
      </w:r>
    </w:p>
    <w:p>
      <w:pPr>
        <w:pStyle w:val="4"/>
        <w:keepNext w:val="0"/>
        <w:keepLines w:val="0"/>
        <w:widowControl/>
        <w:suppressLineNumbers w:val="0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（六）原公告第三条第（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二）项第3目中的“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中奖发票为增值税普通发票的，应提供中奖发票的发票联原件；中奖发票为增值税电子普通发票的，应提供中奖发票版式文件的打印件。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改为“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中奖发票为增值税普通发票的，应提供中奖发票的发票联原件；中奖发票为增值税电子普通发票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或全面数字化的电子发票</w:t>
      </w:r>
      <w:r>
        <w:rPr>
          <w:rFonts w:hint="default" w:ascii="仿宋" w:hAnsi="仿宋" w:eastAsia="仿宋" w:cs="仿宋"/>
          <w:sz w:val="32"/>
          <w:szCs w:val="32"/>
          <w:highlight w:val="none"/>
          <w:lang w:eastAsia="zh-CN"/>
        </w:rPr>
        <w:t>的，应提供中奖发票版式文件的打印件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（七）原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公告第三条第（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三）项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1目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，作为第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5目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盗用他人发票信息参与摇奖的；”原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5目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改为第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eastAsia="仿宋_GB231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2D1A"/>
    <w:rsid w:val="067A260A"/>
    <w:rsid w:val="07335954"/>
    <w:rsid w:val="0C3E6830"/>
    <w:rsid w:val="0CBB01D2"/>
    <w:rsid w:val="0D95790D"/>
    <w:rsid w:val="13B171C1"/>
    <w:rsid w:val="15BC37B1"/>
    <w:rsid w:val="161D165F"/>
    <w:rsid w:val="183C4839"/>
    <w:rsid w:val="1896504A"/>
    <w:rsid w:val="1B0D4E67"/>
    <w:rsid w:val="205645BE"/>
    <w:rsid w:val="23130764"/>
    <w:rsid w:val="2629180B"/>
    <w:rsid w:val="263C6A58"/>
    <w:rsid w:val="26E453C1"/>
    <w:rsid w:val="27FA3577"/>
    <w:rsid w:val="2831226A"/>
    <w:rsid w:val="291C0571"/>
    <w:rsid w:val="2EF05D08"/>
    <w:rsid w:val="345911C2"/>
    <w:rsid w:val="363A5157"/>
    <w:rsid w:val="3AB13325"/>
    <w:rsid w:val="3BA56E20"/>
    <w:rsid w:val="3CE54BDA"/>
    <w:rsid w:val="3D8A044F"/>
    <w:rsid w:val="3E512851"/>
    <w:rsid w:val="3FDD0968"/>
    <w:rsid w:val="40B74B04"/>
    <w:rsid w:val="40FF509C"/>
    <w:rsid w:val="420321E1"/>
    <w:rsid w:val="423A4B9B"/>
    <w:rsid w:val="461B5346"/>
    <w:rsid w:val="465F6D0B"/>
    <w:rsid w:val="4BE4451F"/>
    <w:rsid w:val="4CBC6623"/>
    <w:rsid w:val="4D3B6E9E"/>
    <w:rsid w:val="4DEA7381"/>
    <w:rsid w:val="55834573"/>
    <w:rsid w:val="57595740"/>
    <w:rsid w:val="58502613"/>
    <w:rsid w:val="5B23453F"/>
    <w:rsid w:val="5ED27529"/>
    <w:rsid w:val="627822BA"/>
    <w:rsid w:val="66AB50EB"/>
    <w:rsid w:val="6A1E32DC"/>
    <w:rsid w:val="6BF7120B"/>
    <w:rsid w:val="752F7634"/>
    <w:rsid w:val="75BD3230"/>
    <w:rsid w:val="78F308AD"/>
    <w:rsid w:val="7B963386"/>
    <w:rsid w:val="7BEA3EF6"/>
    <w:rsid w:val="7C035947"/>
    <w:rsid w:val="7C487812"/>
    <w:rsid w:val="7CBC66D0"/>
    <w:rsid w:val="7F1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l"/>
    <w:basedOn w:val="1"/>
    <w:qFormat/>
    <w:uiPriority w:val="0"/>
    <w:pPr>
      <w:shd w:val="clear" w:fill="F4F7FC"/>
      <w:spacing w:line="480" w:lineRule="atLeast"/>
      <w:ind w:firstLine="360"/>
      <w:jc w:val="left"/>
    </w:pPr>
    <w:rPr>
      <w:b/>
      <w:bCs/>
      <w:color w:val="35569D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2023-09-12T01:15:00Z</dcterms:created>
  <dc:creator>user</dc:creator>
  <cp:lastModifiedBy>侯方</cp:lastModifiedBy>
  <cp:lastPrinted>2023-11-30T03:04:00Z</cp:lastPrinted>
  <dcterms:modified xsi:type="dcterms:W3CDTF">2023-12-11T02:52:36Z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