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kern w:val="0"/>
          <w:sz w:val="32"/>
          <w:szCs w:val="32"/>
          <w:lang w:eastAsia="zh-CN"/>
        </w:rPr>
      </w:pPr>
      <w:bookmarkStart w:id="0" w:name="_GoBack"/>
      <w:r>
        <w:rPr>
          <w:rFonts w:hint="eastAsia" w:ascii="黑体" w:hAnsi="黑体" w:eastAsia="黑体" w:cs="黑体"/>
          <w:kern w:val="0"/>
          <w:sz w:val="32"/>
          <w:szCs w:val="32"/>
          <w:lang w:eastAsia="zh-CN"/>
        </w:rPr>
        <w:t>附件</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企业所得税汇算清缴常见问题提示清单</w:t>
      </w:r>
      <w:bookmarkEnd w:id="0"/>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kern w:val="0"/>
          <w:sz w:val="44"/>
          <w:szCs w:val="44"/>
        </w:rPr>
      </w:pPr>
    </w:p>
    <w:tbl>
      <w:tblPr>
        <w:tblStyle w:val="5"/>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682"/>
        <w:gridCol w:w="976"/>
        <w:gridCol w:w="1301"/>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5" w:hRule="atLeast"/>
          <w:tblHeader/>
        </w:trPr>
        <w:tc>
          <w:tcPr>
            <w:tcW w:w="682" w:type="dxa"/>
            <w:shd w:val="clear" w:color="auto" w:fill="FFFFFF"/>
            <w:tcMar>
              <w:top w:w="120" w:type="dxa"/>
              <w:left w:w="120" w:type="dxa"/>
              <w:bottom w:w="120" w:type="dxa"/>
              <w:right w:w="120" w:type="dxa"/>
            </w:tcMar>
            <w:vAlign w:val="center"/>
          </w:tcPr>
          <w:p>
            <w:pPr>
              <w:jc w:val="center"/>
              <w:rPr>
                <w:rFonts w:hint="eastAsia" w:ascii="黑体" w:hAnsi="黑体" w:eastAsia="黑体" w:cs="黑体"/>
                <w:b w:val="0"/>
                <w:bCs/>
                <w:kern w:val="0"/>
                <w:sz w:val="24"/>
                <w:szCs w:val="24"/>
              </w:rPr>
            </w:pPr>
            <w:r>
              <w:rPr>
                <w:rFonts w:hint="eastAsia" w:ascii="黑体" w:hAnsi="黑体" w:eastAsia="黑体" w:cs="黑体"/>
                <w:b w:val="0"/>
                <w:bCs/>
                <w:kern w:val="0"/>
                <w:sz w:val="24"/>
                <w:szCs w:val="24"/>
              </w:rPr>
              <w:t>序号</w:t>
            </w:r>
          </w:p>
        </w:tc>
        <w:tc>
          <w:tcPr>
            <w:tcW w:w="976" w:type="dxa"/>
            <w:shd w:val="clear" w:color="auto" w:fill="FFFFFF"/>
            <w:tcMar>
              <w:top w:w="120" w:type="dxa"/>
              <w:left w:w="120" w:type="dxa"/>
              <w:bottom w:w="120" w:type="dxa"/>
              <w:right w:w="120" w:type="dxa"/>
            </w:tcMar>
            <w:vAlign w:val="center"/>
          </w:tcPr>
          <w:p>
            <w:pPr>
              <w:jc w:val="center"/>
              <w:rPr>
                <w:rFonts w:hint="eastAsia" w:ascii="黑体" w:hAnsi="黑体" w:eastAsia="黑体" w:cs="黑体"/>
                <w:b w:val="0"/>
                <w:bCs/>
                <w:kern w:val="0"/>
                <w:sz w:val="24"/>
                <w:szCs w:val="24"/>
              </w:rPr>
            </w:pPr>
            <w:r>
              <w:rPr>
                <w:rFonts w:hint="eastAsia" w:ascii="黑体" w:hAnsi="黑体" w:eastAsia="黑体" w:cs="黑体"/>
                <w:b w:val="0"/>
                <w:bCs/>
                <w:kern w:val="0"/>
                <w:sz w:val="24"/>
                <w:szCs w:val="24"/>
              </w:rPr>
              <w:t>类别</w:t>
            </w:r>
          </w:p>
        </w:tc>
        <w:tc>
          <w:tcPr>
            <w:tcW w:w="1301" w:type="dxa"/>
            <w:shd w:val="clear" w:color="auto" w:fill="FFFFFF"/>
            <w:tcMar>
              <w:top w:w="120" w:type="dxa"/>
              <w:left w:w="120" w:type="dxa"/>
              <w:bottom w:w="120" w:type="dxa"/>
              <w:right w:w="120" w:type="dxa"/>
            </w:tcMar>
            <w:vAlign w:val="center"/>
          </w:tcPr>
          <w:p>
            <w:pPr>
              <w:jc w:val="center"/>
              <w:rPr>
                <w:rFonts w:hint="eastAsia" w:ascii="黑体" w:hAnsi="黑体" w:eastAsia="黑体" w:cs="黑体"/>
                <w:b w:val="0"/>
                <w:bCs/>
                <w:kern w:val="0"/>
                <w:sz w:val="24"/>
                <w:szCs w:val="24"/>
              </w:rPr>
            </w:pPr>
            <w:r>
              <w:rPr>
                <w:rFonts w:hint="eastAsia" w:ascii="黑体" w:hAnsi="黑体" w:eastAsia="黑体" w:cs="黑体"/>
                <w:b w:val="0"/>
                <w:bCs/>
                <w:kern w:val="0"/>
                <w:sz w:val="24"/>
                <w:szCs w:val="24"/>
              </w:rPr>
              <w:t>涉税项目</w:t>
            </w:r>
          </w:p>
        </w:tc>
        <w:tc>
          <w:tcPr>
            <w:tcW w:w="6283" w:type="dxa"/>
            <w:shd w:val="clear" w:color="auto" w:fill="FFFFFF"/>
            <w:tcMar>
              <w:top w:w="120" w:type="dxa"/>
              <w:left w:w="120" w:type="dxa"/>
              <w:bottom w:w="120" w:type="dxa"/>
              <w:right w:w="120" w:type="dxa"/>
            </w:tcMar>
            <w:vAlign w:val="center"/>
          </w:tcPr>
          <w:p>
            <w:pPr>
              <w:jc w:val="center"/>
              <w:rPr>
                <w:rFonts w:hint="eastAsia" w:ascii="黑体" w:hAnsi="黑体" w:eastAsia="黑体" w:cs="黑体"/>
                <w:b w:val="0"/>
                <w:bCs/>
                <w:kern w:val="0"/>
                <w:sz w:val="24"/>
                <w:szCs w:val="24"/>
              </w:rPr>
            </w:pPr>
            <w:r>
              <w:rPr>
                <w:rFonts w:hint="eastAsia" w:ascii="黑体" w:hAnsi="黑体" w:eastAsia="黑体" w:cs="黑体"/>
                <w:b w:val="0"/>
                <w:bCs/>
                <w:kern w:val="0"/>
                <w:sz w:val="24"/>
                <w:szCs w:val="24"/>
              </w:rPr>
              <w:t>提示内容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0" w:hRule="atLeast"/>
        </w:trPr>
        <w:tc>
          <w:tcPr>
            <w:tcW w:w="682"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976" w:type="dxa"/>
            <w:vMerge w:val="restart"/>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收入类</w:t>
            </w:r>
          </w:p>
        </w:tc>
        <w:tc>
          <w:tcPr>
            <w:tcW w:w="1301"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接受捐赠</w:t>
            </w:r>
          </w:p>
        </w:tc>
        <w:tc>
          <w:tcPr>
            <w:tcW w:w="6283" w:type="dxa"/>
            <w:shd w:val="clear" w:color="auto" w:fill="FFFFFF"/>
            <w:tcMar>
              <w:top w:w="120" w:type="dxa"/>
              <w:left w:w="120" w:type="dxa"/>
              <w:bottom w:w="120" w:type="dxa"/>
              <w:right w:w="120" w:type="dxa"/>
            </w:tcMar>
            <w:vAlign w:val="center"/>
          </w:tcPr>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接受捐赠的货币及非货币资产，应计入应纳税所得额。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0" w:hRule="atLeast"/>
        </w:trPr>
        <w:tc>
          <w:tcPr>
            <w:tcW w:w="682"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0" w:type="auto"/>
            <w:vMerge w:val="continue"/>
            <w:shd w:val="clear" w:color="auto" w:fill="FFFFFF"/>
            <w:vAlign w:val="center"/>
          </w:tcPr>
          <w:p>
            <w:pPr>
              <w:jc w:val="center"/>
              <w:rPr>
                <w:rFonts w:hint="eastAsia" w:ascii="仿宋_GB2312" w:hAnsi="仿宋_GB2312" w:eastAsia="仿宋_GB2312" w:cs="仿宋_GB2312"/>
                <w:kern w:val="0"/>
                <w:sz w:val="24"/>
                <w:szCs w:val="24"/>
              </w:rPr>
            </w:pPr>
          </w:p>
        </w:tc>
        <w:tc>
          <w:tcPr>
            <w:tcW w:w="1301"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补贴收入</w:t>
            </w:r>
          </w:p>
        </w:tc>
        <w:tc>
          <w:tcPr>
            <w:tcW w:w="6283" w:type="dxa"/>
            <w:shd w:val="clear" w:color="auto" w:fill="FFFFFF"/>
            <w:tcMar>
              <w:top w:w="120" w:type="dxa"/>
              <w:left w:w="120" w:type="dxa"/>
              <w:bottom w:w="120" w:type="dxa"/>
              <w:right w:w="120" w:type="dxa"/>
            </w:tcMar>
            <w:vAlign w:val="center"/>
          </w:tcPr>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各种减免流转税及各项补贴、政府奖励，作为不征税收入处理的，是否符合不征税收入条件。作不征税收入处理后，在5年（60个月）内未发生支出且未缴回财政部门或其他拨付资金的政府部门的部分，应计入取得该资金第六年的应税收入总额；</w:t>
            </w:r>
          </w:p>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2.除符合不征税收入条件且作为不征税收入处理外，应按规定计入应纳税所得额。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0" w:hRule="atLeast"/>
        </w:trPr>
        <w:tc>
          <w:tcPr>
            <w:tcW w:w="682"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0" w:type="auto"/>
            <w:vMerge w:val="continue"/>
            <w:shd w:val="clear" w:color="auto" w:fill="FFFFFF"/>
            <w:vAlign w:val="center"/>
          </w:tcPr>
          <w:p>
            <w:pPr>
              <w:jc w:val="center"/>
              <w:rPr>
                <w:rFonts w:hint="eastAsia" w:ascii="仿宋_GB2312" w:hAnsi="仿宋_GB2312" w:eastAsia="仿宋_GB2312" w:cs="仿宋_GB2312"/>
                <w:kern w:val="0"/>
                <w:sz w:val="24"/>
                <w:szCs w:val="24"/>
              </w:rPr>
            </w:pPr>
          </w:p>
        </w:tc>
        <w:tc>
          <w:tcPr>
            <w:tcW w:w="1301"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关联交易</w:t>
            </w:r>
          </w:p>
        </w:tc>
        <w:tc>
          <w:tcPr>
            <w:tcW w:w="6283" w:type="dxa"/>
            <w:shd w:val="clear" w:color="auto" w:fill="FFFFFF"/>
            <w:tcMar>
              <w:top w:w="120" w:type="dxa"/>
              <w:left w:w="120" w:type="dxa"/>
              <w:bottom w:w="120" w:type="dxa"/>
              <w:right w:w="120" w:type="dxa"/>
            </w:tcMar>
            <w:vAlign w:val="center"/>
          </w:tcPr>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与其关联企业之间的业务往来，未按照独立企业之间的业务往来收取或者支付价款、费用而减少其应纳税所得额的，应做纳税调整。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0" w:hRule="atLeast"/>
        </w:trPr>
        <w:tc>
          <w:tcPr>
            <w:tcW w:w="682"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0" w:type="auto"/>
            <w:vMerge w:val="continue"/>
            <w:shd w:val="clear" w:color="auto" w:fill="FFFFFF"/>
            <w:vAlign w:val="center"/>
          </w:tcPr>
          <w:p>
            <w:pPr>
              <w:jc w:val="center"/>
              <w:rPr>
                <w:rFonts w:hint="eastAsia" w:ascii="仿宋_GB2312" w:hAnsi="仿宋_GB2312" w:eastAsia="仿宋_GB2312" w:cs="仿宋_GB2312"/>
                <w:kern w:val="0"/>
                <w:sz w:val="24"/>
                <w:szCs w:val="24"/>
              </w:rPr>
            </w:pPr>
          </w:p>
        </w:tc>
        <w:tc>
          <w:tcPr>
            <w:tcW w:w="1301"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视同销售</w:t>
            </w:r>
          </w:p>
        </w:tc>
        <w:tc>
          <w:tcPr>
            <w:tcW w:w="6283" w:type="dxa"/>
            <w:shd w:val="clear" w:color="auto" w:fill="FFFFFF"/>
            <w:tcMar>
              <w:top w:w="120" w:type="dxa"/>
              <w:left w:w="120" w:type="dxa"/>
              <w:bottom w:w="120" w:type="dxa"/>
              <w:right w:w="120" w:type="dxa"/>
            </w:tcMar>
            <w:vAlign w:val="center"/>
          </w:tcPr>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对于将货物、财产用于市场推广、广告、交际应酬、对外捐赠或赞助支出，应按税法规定视同销售确定收入。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0" w:hRule="atLeast"/>
        </w:trPr>
        <w:tc>
          <w:tcPr>
            <w:tcW w:w="682"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0" w:type="auto"/>
            <w:vMerge w:val="continue"/>
            <w:shd w:val="clear" w:color="auto" w:fill="FFFFFF"/>
            <w:vAlign w:val="center"/>
          </w:tcPr>
          <w:p>
            <w:pPr>
              <w:jc w:val="center"/>
              <w:rPr>
                <w:rFonts w:hint="eastAsia" w:ascii="仿宋_GB2312" w:hAnsi="仿宋_GB2312" w:eastAsia="仿宋_GB2312" w:cs="仿宋_GB2312"/>
                <w:kern w:val="0"/>
                <w:sz w:val="24"/>
                <w:szCs w:val="24"/>
              </w:rPr>
            </w:pPr>
          </w:p>
        </w:tc>
        <w:tc>
          <w:tcPr>
            <w:tcW w:w="1301"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保险赔偿</w:t>
            </w:r>
          </w:p>
        </w:tc>
        <w:tc>
          <w:tcPr>
            <w:tcW w:w="6283" w:type="dxa"/>
            <w:shd w:val="clear" w:color="auto" w:fill="FFFFFF"/>
            <w:tcMar>
              <w:top w:w="120" w:type="dxa"/>
              <w:left w:w="120" w:type="dxa"/>
              <w:bottom w:w="120" w:type="dxa"/>
              <w:right w:w="120" w:type="dxa"/>
            </w:tcMar>
            <w:vAlign w:val="center"/>
          </w:tcPr>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自然灾害或意外事故损失有补偿的部分，应做纳税调整。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30" w:hRule="atLeast"/>
        </w:trPr>
        <w:tc>
          <w:tcPr>
            <w:tcW w:w="682"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0" w:type="auto"/>
            <w:vMerge w:val="continue"/>
            <w:shd w:val="clear" w:color="auto" w:fill="FFFFFF"/>
            <w:vAlign w:val="center"/>
          </w:tcPr>
          <w:p>
            <w:pPr>
              <w:jc w:val="center"/>
              <w:rPr>
                <w:rFonts w:hint="eastAsia" w:ascii="仿宋_GB2312" w:hAnsi="仿宋_GB2312" w:eastAsia="仿宋_GB2312" w:cs="仿宋_GB2312"/>
                <w:kern w:val="0"/>
                <w:sz w:val="24"/>
                <w:szCs w:val="24"/>
              </w:rPr>
            </w:pPr>
          </w:p>
        </w:tc>
        <w:tc>
          <w:tcPr>
            <w:tcW w:w="1301"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房地产开发经营企业销售未完工开发产品</w:t>
            </w:r>
          </w:p>
        </w:tc>
        <w:tc>
          <w:tcPr>
            <w:tcW w:w="6283" w:type="dxa"/>
            <w:shd w:val="clear" w:color="auto" w:fill="FFFFFF"/>
            <w:tcMar>
              <w:top w:w="120" w:type="dxa"/>
              <w:left w:w="120" w:type="dxa"/>
              <w:bottom w:w="120" w:type="dxa"/>
              <w:right w:w="120" w:type="dxa"/>
            </w:tcMar>
            <w:vAlign w:val="center"/>
          </w:tcPr>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房地产开发经营企业通过正式签订《房地产销售合同》或《房地产预售合同》所取得的收入，应确认为销售收入的实现，并按预计计税毛利率计算出预计毛利额，计入当期应纳税所得额。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30" w:hRule="atLeast"/>
        </w:trPr>
        <w:tc>
          <w:tcPr>
            <w:tcW w:w="682"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0" w:type="auto"/>
            <w:vMerge w:val="continue"/>
            <w:shd w:val="clear" w:color="auto" w:fill="FFFFFF"/>
            <w:vAlign w:val="center"/>
          </w:tcPr>
          <w:p>
            <w:pPr>
              <w:jc w:val="center"/>
              <w:rPr>
                <w:rFonts w:hint="eastAsia" w:ascii="仿宋_GB2312" w:hAnsi="仿宋_GB2312" w:eastAsia="仿宋_GB2312" w:cs="仿宋_GB2312"/>
                <w:kern w:val="0"/>
                <w:sz w:val="24"/>
                <w:szCs w:val="24"/>
              </w:rPr>
            </w:pPr>
          </w:p>
        </w:tc>
        <w:tc>
          <w:tcPr>
            <w:tcW w:w="1301"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投资收益</w:t>
            </w:r>
          </w:p>
        </w:tc>
        <w:tc>
          <w:tcPr>
            <w:tcW w:w="6283" w:type="dxa"/>
            <w:shd w:val="clear" w:color="auto" w:fill="FFFFFF"/>
            <w:tcMar>
              <w:top w:w="120" w:type="dxa"/>
              <w:left w:w="120" w:type="dxa"/>
              <w:bottom w:w="120" w:type="dxa"/>
              <w:right w:w="120" w:type="dxa"/>
            </w:tcMar>
            <w:vAlign w:val="center"/>
          </w:tcPr>
          <w:p>
            <w:pPr>
              <w:autoSpaceDE w:val="0"/>
              <w:autoSpaceDN w:val="0"/>
              <w:adjustRightInd w:val="0"/>
              <w:ind w:left="200" w:firstLine="240" w:firstLineChars="10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投资企业申报股息、红利等权益性投资收益免税的，被投资企业应将该股东及分红情况完整填写到《企业所得税年度纳税申报基础信息表》上。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8" w:hRule="atLeast"/>
        </w:trPr>
        <w:tc>
          <w:tcPr>
            <w:tcW w:w="682"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976" w:type="dxa"/>
            <w:vMerge w:val="restart"/>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扣除类</w:t>
            </w:r>
          </w:p>
        </w:tc>
        <w:tc>
          <w:tcPr>
            <w:tcW w:w="1301"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税前扣除凭证使用</w:t>
            </w:r>
          </w:p>
        </w:tc>
        <w:tc>
          <w:tcPr>
            <w:tcW w:w="6283" w:type="dxa"/>
            <w:shd w:val="clear" w:color="auto" w:fill="FFFFFF"/>
            <w:tcMar>
              <w:top w:w="120" w:type="dxa"/>
              <w:left w:w="120" w:type="dxa"/>
              <w:bottom w:w="120" w:type="dxa"/>
              <w:right w:w="120" w:type="dxa"/>
            </w:tcMar>
            <w:vAlign w:val="center"/>
          </w:tcPr>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1.企业取得私自印制、伪造、变造、作废、开票方非法取得、虚开、填写不规范等不符合规定的发票，不得作为税前扣除凭证；</w:t>
            </w:r>
          </w:p>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2.企业取得不符合国家法律、法规等相关规定的其他外部凭证，不得作为税前扣除凭证。</w:t>
            </w:r>
          </w:p>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3.企业应当取得而未取得发票或者取得不合规发票，应当在当年度汇算清缴期结束前，要求对方补开、换开发票。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60" w:hRule="atLeast"/>
        </w:trPr>
        <w:tc>
          <w:tcPr>
            <w:tcW w:w="682"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0" w:type="auto"/>
            <w:vMerge w:val="continue"/>
            <w:shd w:val="clear" w:color="auto" w:fill="FFFFFF"/>
            <w:vAlign w:val="center"/>
          </w:tcPr>
          <w:p>
            <w:pPr>
              <w:jc w:val="center"/>
              <w:rPr>
                <w:rFonts w:hint="eastAsia" w:ascii="仿宋_GB2312" w:hAnsi="仿宋_GB2312" w:eastAsia="仿宋_GB2312" w:cs="仿宋_GB2312"/>
                <w:kern w:val="0"/>
                <w:sz w:val="24"/>
                <w:szCs w:val="24"/>
              </w:rPr>
            </w:pPr>
          </w:p>
        </w:tc>
        <w:tc>
          <w:tcPr>
            <w:tcW w:w="1301"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工资薪金、职工福利性支出</w:t>
            </w:r>
          </w:p>
        </w:tc>
        <w:tc>
          <w:tcPr>
            <w:tcW w:w="6283" w:type="dxa"/>
            <w:shd w:val="clear" w:color="auto" w:fill="FFFFFF"/>
            <w:tcMar>
              <w:top w:w="120" w:type="dxa"/>
              <w:left w:w="120" w:type="dxa"/>
              <w:bottom w:w="120" w:type="dxa"/>
              <w:right w:w="120" w:type="dxa"/>
            </w:tcMar>
            <w:vAlign w:val="center"/>
          </w:tcPr>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1.为职工购买除企业依照国家有关规定为特殊工种职工支付的人身安全保险费和国务院财政、税务主管部门规定可以扣除的其他商业保险费外的商业保险不得扣除；</w:t>
            </w:r>
          </w:p>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2.已计提未发放的工资薪金应做纳税调整；</w:t>
            </w:r>
          </w:p>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3.以报销费用等不符合内部工资薪金制度，变相发放工资薪金及福利不得扣除；</w:t>
            </w:r>
          </w:p>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4.虚列员工信息，套取工资不得扣除；</w:t>
            </w:r>
          </w:p>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5.按照股权激励计划在等待期内计提但尚未实际发生的工资薪金应做纳税调整。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25" w:hRule="atLeast"/>
        </w:trPr>
        <w:tc>
          <w:tcPr>
            <w:tcW w:w="682"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0" w:type="auto"/>
            <w:vMerge w:val="continue"/>
            <w:shd w:val="clear" w:color="auto" w:fill="FFFFFF"/>
            <w:vAlign w:val="center"/>
          </w:tcPr>
          <w:p>
            <w:pPr>
              <w:jc w:val="center"/>
              <w:rPr>
                <w:rFonts w:hint="eastAsia" w:ascii="仿宋_GB2312" w:hAnsi="仿宋_GB2312" w:eastAsia="仿宋_GB2312" w:cs="仿宋_GB2312"/>
                <w:kern w:val="0"/>
                <w:sz w:val="24"/>
                <w:szCs w:val="24"/>
              </w:rPr>
            </w:pPr>
          </w:p>
        </w:tc>
        <w:tc>
          <w:tcPr>
            <w:tcW w:w="1301"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佣金手续费项目</w:t>
            </w:r>
          </w:p>
        </w:tc>
        <w:tc>
          <w:tcPr>
            <w:tcW w:w="6283" w:type="dxa"/>
            <w:shd w:val="clear" w:color="auto" w:fill="FFFFFF"/>
            <w:tcMar>
              <w:top w:w="120" w:type="dxa"/>
              <w:left w:w="120" w:type="dxa"/>
              <w:bottom w:w="120" w:type="dxa"/>
              <w:right w:w="120" w:type="dxa"/>
            </w:tcMar>
            <w:vAlign w:val="center"/>
          </w:tcPr>
          <w:p>
            <w:pPr>
              <w:numPr>
                <w:ilvl w:val="0"/>
                <w:numId w:val="1"/>
              </w:num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保险企业发生与其经营活动有关的手续费及佣金支出，不超过当年全部保费收入扣除退保金等后余额的18%（含本数）的部分，在计算应纳税所得额时准予扣除；超过部分，允许结转以后年度扣除。</w:t>
            </w:r>
          </w:p>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其他企业生与生产经营有关的手续费及佣金支出，按与具有合法经营资格中介服务机构或个人（不含交易双方及其雇员、代理人和代表人等）所签订服务协议或合同确认的收入金额的5%计算限额，超过部分，不得扣除。</w:t>
            </w:r>
          </w:p>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3.企业应与具有合法经营资格中介服务企业或个人签订代办协议或合同，并按国家有关规定支付手续费及佣金；</w:t>
            </w:r>
          </w:p>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4.除委托个人代理外，企业以现金等非转账方式支付的手续费及佣金不得扣除；</w:t>
            </w:r>
          </w:p>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5.将手续费及佣金支出计入回扣、业务提成、返利、进场费等费用不得扣除。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577" w:hRule="atLeast"/>
        </w:trPr>
        <w:tc>
          <w:tcPr>
            <w:tcW w:w="682"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w:t>
            </w:r>
          </w:p>
        </w:tc>
        <w:tc>
          <w:tcPr>
            <w:tcW w:w="0" w:type="auto"/>
            <w:vMerge w:val="continue"/>
            <w:shd w:val="clear" w:color="auto" w:fill="FFFFFF"/>
            <w:vAlign w:val="center"/>
          </w:tcPr>
          <w:p>
            <w:pPr>
              <w:jc w:val="center"/>
              <w:rPr>
                <w:rFonts w:hint="eastAsia" w:ascii="仿宋_GB2312" w:hAnsi="仿宋_GB2312" w:eastAsia="仿宋_GB2312" w:cs="仿宋_GB2312"/>
                <w:kern w:val="0"/>
                <w:sz w:val="24"/>
                <w:szCs w:val="24"/>
              </w:rPr>
            </w:pPr>
          </w:p>
        </w:tc>
        <w:tc>
          <w:tcPr>
            <w:tcW w:w="1301"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利息支出</w:t>
            </w:r>
          </w:p>
        </w:tc>
        <w:tc>
          <w:tcPr>
            <w:tcW w:w="6283" w:type="dxa"/>
            <w:shd w:val="clear" w:color="auto" w:fill="FFFFFF"/>
            <w:tcMar>
              <w:top w:w="120" w:type="dxa"/>
              <w:left w:w="120" w:type="dxa"/>
              <w:bottom w:w="120" w:type="dxa"/>
              <w:right w:w="120" w:type="dxa"/>
            </w:tcMar>
            <w:vAlign w:val="center"/>
          </w:tcPr>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1.非金融企业向非金融企业借款的利息支出，不得超过按照金融企业同期同类贷款利率计算的数额；</w:t>
            </w:r>
          </w:p>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2.企业在按照合同要求首次支付利息并进行税前扣除时，应提供“金融企业的同期同类贷款利率情况说明”，以证明其利息支出的合理性。</w:t>
            </w:r>
          </w:p>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3.企业与个人之间的借贷应真实、合法、有效，不具有非法集资目的或其他违反法律、法规的行为，并签订借款合同。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40" w:hRule="atLeast"/>
        </w:trPr>
        <w:tc>
          <w:tcPr>
            <w:tcW w:w="682"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w:t>
            </w:r>
          </w:p>
        </w:tc>
        <w:tc>
          <w:tcPr>
            <w:tcW w:w="0" w:type="auto"/>
            <w:vMerge w:val="continue"/>
            <w:shd w:val="clear" w:color="auto" w:fill="FFFFFF"/>
            <w:vAlign w:val="center"/>
          </w:tcPr>
          <w:p>
            <w:pPr>
              <w:jc w:val="center"/>
              <w:rPr>
                <w:rFonts w:hint="eastAsia" w:ascii="仿宋_GB2312" w:hAnsi="仿宋_GB2312" w:eastAsia="仿宋_GB2312" w:cs="仿宋_GB2312"/>
                <w:kern w:val="0"/>
                <w:sz w:val="24"/>
                <w:szCs w:val="24"/>
              </w:rPr>
            </w:pPr>
          </w:p>
        </w:tc>
        <w:tc>
          <w:tcPr>
            <w:tcW w:w="1301"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捐赠支出</w:t>
            </w:r>
          </w:p>
        </w:tc>
        <w:tc>
          <w:tcPr>
            <w:tcW w:w="6283" w:type="dxa"/>
            <w:shd w:val="clear" w:color="auto" w:fill="FFFFFF"/>
            <w:tcMar>
              <w:top w:w="120" w:type="dxa"/>
              <w:left w:w="120" w:type="dxa"/>
              <w:bottom w:w="120" w:type="dxa"/>
              <w:right w:w="120" w:type="dxa"/>
            </w:tcMar>
            <w:vAlign w:val="center"/>
          </w:tcPr>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1.通过公益性社会团体、公益性群众团体捐赠，公益性社会团体、公益性群众团体应取得公益性捐赠税前扣除资格；</w:t>
            </w:r>
          </w:p>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kern w:val="0"/>
                <w:sz w:val="24"/>
                <w:szCs w:val="24"/>
              </w:rPr>
              <w:t>公益性捐赠应</w:t>
            </w:r>
            <w:r>
              <w:rPr>
                <w:rFonts w:hint="eastAsia" w:ascii="仿宋_GB2312" w:hAnsi="仿宋_GB2312" w:eastAsia="仿宋_GB2312" w:cs="仿宋_GB2312"/>
                <w:sz w:val="24"/>
                <w:szCs w:val="24"/>
              </w:rPr>
              <w:t>取得公益事业捐赠票据。直接向承担疫情防治任务的医院捐赠用于应对新型冠状病毒感染的肺炎疫情的物品，应取得医院开具的捐赠接收函；</w:t>
            </w:r>
          </w:p>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3.企业扶贫捐赠适用于目标脱贫地区（包括832个国家扶贫开发工作重点县、集中连片特困地区县（新疆阿克苏地区6县1市享受片区政策）和建档立卡贫困村）；</w:t>
            </w:r>
          </w:p>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4.对外捐赠税前扣除标准与会计处理有差异的，应进行纳税调整。</w:t>
            </w:r>
          </w:p>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企业在非货币性资产捐赠过程中发生的运费、保险费、人工费用等相关支出，凡纳入国家机关、公益性社会组织开具的公益捐赠票据记载的数额中的，作为公益性捐赠支出按照规定在税前扣除；上述费用未纳入公益性捐赠票据记载的数额中的，作为企业相关费用按照规定在税前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26" w:hRule="atLeast"/>
        </w:trPr>
        <w:tc>
          <w:tcPr>
            <w:tcW w:w="682"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w:t>
            </w:r>
          </w:p>
        </w:tc>
        <w:tc>
          <w:tcPr>
            <w:tcW w:w="0" w:type="auto"/>
            <w:vMerge w:val="continue"/>
            <w:shd w:val="clear" w:color="auto" w:fill="FFFFFF"/>
            <w:vAlign w:val="center"/>
          </w:tcPr>
          <w:p>
            <w:pPr>
              <w:jc w:val="center"/>
              <w:rPr>
                <w:rFonts w:hint="eastAsia" w:ascii="仿宋_GB2312" w:hAnsi="仿宋_GB2312" w:eastAsia="仿宋_GB2312" w:cs="仿宋_GB2312"/>
                <w:kern w:val="0"/>
                <w:sz w:val="24"/>
                <w:szCs w:val="24"/>
              </w:rPr>
            </w:pPr>
          </w:p>
        </w:tc>
        <w:tc>
          <w:tcPr>
            <w:tcW w:w="1301"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其他有扣除限额的费用支出</w:t>
            </w:r>
          </w:p>
        </w:tc>
        <w:tc>
          <w:tcPr>
            <w:tcW w:w="6283" w:type="dxa"/>
            <w:shd w:val="clear" w:color="auto" w:fill="FFFFFF"/>
            <w:tcMar>
              <w:top w:w="120" w:type="dxa"/>
              <w:left w:w="120" w:type="dxa"/>
              <w:bottom w:w="120" w:type="dxa"/>
              <w:right w:w="120" w:type="dxa"/>
            </w:tcMar>
            <w:vAlign w:val="center"/>
          </w:tcPr>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业务招待费、广告费、业务宣传费、党组织工作经费应按税法规定的范围和比例进行扣除。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15" w:hRule="atLeast"/>
        </w:trPr>
        <w:tc>
          <w:tcPr>
            <w:tcW w:w="682"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w:t>
            </w:r>
          </w:p>
        </w:tc>
        <w:tc>
          <w:tcPr>
            <w:tcW w:w="0" w:type="auto"/>
            <w:vMerge w:val="continue"/>
            <w:shd w:val="clear" w:color="auto" w:fill="FFFFFF"/>
            <w:vAlign w:val="center"/>
          </w:tcPr>
          <w:p>
            <w:pPr>
              <w:jc w:val="center"/>
              <w:rPr>
                <w:rFonts w:hint="eastAsia" w:ascii="仿宋_GB2312" w:hAnsi="仿宋_GB2312" w:eastAsia="仿宋_GB2312" w:cs="仿宋_GB2312"/>
                <w:kern w:val="0"/>
                <w:sz w:val="24"/>
                <w:szCs w:val="24"/>
              </w:rPr>
            </w:pPr>
          </w:p>
        </w:tc>
        <w:tc>
          <w:tcPr>
            <w:tcW w:w="1301"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资产折旧、摊销差异</w:t>
            </w:r>
          </w:p>
        </w:tc>
        <w:tc>
          <w:tcPr>
            <w:tcW w:w="6283" w:type="dxa"/>
            <w:shd w:val="clear" w:color="auto" w:fill="FFFFFF"/>
            <w:tcMar>
              <w:top w:w="120" w:type="dxa"/>
              <w:left w:w="120" w:type="dxa"/>
              <w:bottom w:w="120" w:type="dxa"/>
              <w:right w:w="120" w:type="dxa"/>
            </w:tcMar>
            <w:vAlign w:val="center"/>
          </w:tcPr>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固定资产、无形资产的账面价值与计税基础差异、会计和税收摊销年限差异，计提减值准备等项目应按照税法规定进行调整。</w:t>
            </w:r>
            <w:r>
              <w:rPr>
                <w:rFonts w:hint="eastAsia" w:ascii="仿宋_GB2312" w:hAnsi="仿宋_GB2312" w:eastAsia="仿宋_GB2312" w:cs="仿宋_GB2312"/>
                <w:kern w:val="0"/>
                <w:sz w:val="24"/>
                <w:szCs w:val="24"/>
                <w:lang w:eastAsia="zh-CN"/>
              </w:rPr>
              <w:t>采取</w:t>
            </w:r>
            <w:r>
              <w:rPr>
                <w:rFonts w:hint="eastAsia" w:ascii="仿宋_GB2312" w:hAnsi="仿宋_GB2312" w:eastAsia="仿宋_GB2312" w:cs="仿宋_GB2312"/>
                <w:kern w:val="0"/>
                <w:sz w:val="24"/>
                <w:szCs w:val="24"/>
              </w:rPr>
              <w:t>加速折旧（摊销）</w:t>
            </w:r>
            <w:r>
              <w:rPr>
                <w:rFonts w:hint="eastAsia" w:ascii="仿宋_GB2312" w:hAnsi="仿宋_GB2312" w:eastAsia="仿宋_GB2312" w:cs="仿宋_GB2312"/>
                <w:kern w:val="0"/>
                <w:sz w:val="24"/>
                <w:szCs w:val="24"/>
                <w:lang w:eastAsia="zh-CN"/>
              </w:rPr>
              <w:t>的</w:t>
            </w:r>
            <w:r>
              <w:rPr>
                <w:rFonts w:hint="eastAsia" w:ascii="仿宋_GB2312" w:hAnsi="仿宋_GB2312" w:eastAsia="仿宋_GB2312" w:cs="仿宋_GB2312"/>
                <w:kern w:val="0"/>
                <w:sz w:val="24"/>
                <w:szCs w:val="24"/>
              </w:rPr>
              <w:t>应符合税法规定。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0" w:hRule="atLeast"/>
        </w:trPr>
        <w:tc>
          <w:tcPr>
            <w:tcW w:w="682"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0" w:type="auto"/>
            <w:vMerge w:val="continue"/>
            <w:shd w:val="clear" w:color="auto" w:fill="FFFFFF"/>
            <w:vAlign w:val="center"/>
          </w:tcPr>
          <w:p>
            <w:pPr>
              <w:jc w:val="center"/>
              <w:rPr>
                <w:rFonts w:hint="eastAsia" w:ascii="仿宋_GB2312" w:hAnsi="仿宋_GB2312" w:eastAsia="仿宋_GB2312" w:cs="仿宋_GB2312"/>
                <w:kern w:val="0"/>
                <w:sz w:val="24"/>
                <w:szCs w:val="24"/>
              </w:rPr>
            </w:pPr>
          </w:p>
        </w:tc>
        <w:tc>
          <w:tcPr>
            <w:tcW w:w="1301"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不征税收入用于支出所形成的费用</w:t>
            </w:r>
          </w:p>
        </w:tc>
        <w:tc>
          <w:tcPr>
            <w:tcW w:w="6283" w:type="dxa"/>
            <w:shd w:val="clear" w:color="auto" w:fill="FFFFFF"/>
            <w:tcMar>
              <w:top w:w="120" w:type="dxa"/>
              <w:left w:w="120" w:type="dxa"/>
              <w:bottom w:w="120" w:type="dxa"/>
              <w:right w:w="120" w:type="dxa"/>
            </w:tcMar>
            <w:vAlign w:val="center"/>
          </w:tcPr>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企业取得的不征税收入用于支出所形成的费用不得扣除。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5" w:hRule="atLeast"/>
        </w:trPr>
        <w:tc>
          <w:tcPr>
            <w:tcW w:w="682"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w:t>
            </w:r>
          </w:p>
        </w:tc>
        <w:tc>
          <w:tcPr>
            <w:tcW w:w="0" w:type="auto"/>
            <w:vMerge w:val="continue"/>
            <w:shd w:val="clear" w:color="auto" w:fill="FFFFFF"/>
            <w:vAlign w:val="center"/>
          </w:tcPr>
          <w:p>
            <w:pPr>
              <w:jc w:val="center"/>
              <w:rPr>
                <w:rFonts w:hint="eastAsia" w:ascii="仿宋_GB2312" w:hAnsi="仿宋_GB2312" w:eastAsia="仿宋_GB2312" w:cs="仿宋_GB2312"/>
                <w:kern w:val="0"/>
                <w:sz w:val="24"/>
                <w:szCs w:val="24"/>
              </w:rPr>
            </w:pPr>
          </w:p>
        </w:tc>
        <w:tc>
          <w:tcPr>
            <w:tcW w:w="1301"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母子公司服务费</w:t>
            </w:r>
          </w:p>
        </w:tc>
        <w:tc>
          <w:tcPr>
            <w:tcW w:w="6283" w:type="dxa"/>
            <w:shd w:val="clear" w:color="auto" w:fill="FFFFFF"/>
            <w:tcMar>
              <w:top w:w="120" w:type="dxa"/>
              <w:left w:w="120" w:type="dxa"/>
              <w:bottom w:w="120" w:type="dxa"/>
              <w:right w:w="120" w:type="dxa"/>
            </w:tcMar>
            <w:vAlign w:val="center"/>
          </w:tcPr>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1.母公司为其子公司提供各种服务而发生的费用，应按照独立企业之间公平交易原则确定服务的价格，作为企业正常的劳务费用进行税务处理；</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2.双方应签订服务合同或协议，明确规定提供服务的内容、收费标准及金额等，</w:t>
            </w:r>
          </w:p>
          <w:p>
            <w:pPr>
              <w:snapToGrid w:val="0"/>
              <w:spacing w:line="340" w:lineRule="exact"/>
              <w:ind w:firstLine="480"/>
              <w:jc w:val="left"/>
              <w:rPr>
                <w:rFonts w:hint="eastAsia" w:ascii="仿宋_GB2312" w:hAnsi="仿宋_GB2312" w:eastAsia="仿宋_GB2312" w:cs="仿宋_GB2312"/>
                <w:kern w:val="0"/>
                <w:sz w:val="24"/>
                <w:szCs w:val="24"/>
                <w:lang w:val="zh-CN"/>
              </w:rPr>
            </w:pP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val="zh-CN"/>
              </w:rPr>
              <w:t>母公司以管理费形式向子公司提取费用，子公司因此支付给母公司的管理费，不得扣除。</w:t>
            </w:r>
          </w:p>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4.子公司应向主管税务机关提供与母公司签订的服务合同或者协议等与税前扣除该项费用相关的材料。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010" w:hRule="atLeast"/>
        </w:trPr>
        <w:tc>
          <w:tcPr>
            <w:tcW w:w="682"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17</w:t>
            </w:r>
          </w:p>
        </w:tc>
        <w:tc>
          <w:tcPr>
            <w:tcW w:w="0" w:type="auto"/>
            <w:vMerge w:val="continue"/>
            <w:shd w:val="clear" w:color="auto" w:fill="FFFFFF"/>
            <w:vAlign w:val="center"/>
          </w:tcPr>
          <w:p>
            <w:pPr>
              <w:jc w:val="center"/>
              <w:rPr>
                <w:rFonts w:hint="eastAsia" w:ascii="仿宋_GB2312" w:hAnsi="仿宋_GB2312" w:eastAsia="仿宋_GB2312" w:cs="仿宋_GB2312"/>
                <w:kern w:val="0"/>
                <w:sz w:val="24"/>
                <w:szCs w:val="24"/>
              </w:rPr>
            </w:pPr>
          </w:p>
        </w:tc>
        <w:tc>
          <w:tcPr>
            <w:tcW w:w="1301"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罚款、罚金和滞纳金</w:t>
            </w:r>
          </w:p>
        </w:tc>
        <w:tc>
          <w:tcPr>
            <w:tcW w:w="6283" w:type="dxa"/>
            <w:shd w:val="clear" w:color="auto" w:fill="FFFFFF"/>
            <w:tcMar>
              <w:top w:w="120" w:type="dxa"/>
              <w:left w:w="120" w:type="dxa"/>
              <w:bottom w:w="120" w:type="dxa"/>
              <w:right w:w="120" w:type="dxa"/>
            </w:tcMar>
            <w:vAlign w:val="center"/>
          </w:tcPr>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混淆罚款、罚金、滞纳金与违约金的性质，扩大扣除范围，应做纳税调整。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15" w:hRule="atLeast"/>
        </w:trPr>
        <w:tc>
          <w:tcPr>
            <w:tcW w:w="682"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w:t>
            </w:r>
          </w:p>
        </w:tc>
        <w:tc>
          <w:tcPr>
            <w:tcW w:w="0" w:type="auto"/>
            <w:vMerge w:val="continue"/>
            <w:shd w:val="clear" w:color="auto" w:fill="FFFFFF"/>
            <w:vAlign w:val="center"/>
          </w:tcPr>
          <w:p>
            <w:pPr>
              <w:jc w:val="center"/>
              <w:rPr>
                <w:rFonts w:hint="eastAsia" w:ascii="仿宋_GB2312" w:hAnsi="仿宋_GB2312" w:eastAsia="仿宋_GB2312" w:cs="仿宋_GB2312"/>
                <w:kern w:val="0"/>
                <w:sz w:val="24"/>
                <w:szCs w:val="24"/>
              </w:rPr>
            </w:pPr>
          </w:p>
        </w:tc>
        <w:tc>
          <w:tcPr>
            <w:tcW w:w="1301"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以前年度发生应扣未扣支出</w:t>
            </w:r>
          </w:p>
        </w:tc>
        <w:tc>
          <w:tcPr>
            <w:tcW w:w="6283" w:type="dxa"/>
            <w:shd w:val="clear" w:color="auto" w:fill="FFFFFF"/>
            <w:tcMar>
              <w:top w:w="120" w:type="dxa"/>
              <w:left w:w="120" w:type="dxa"/>
              <w:bottom w:w="120" w:type="dxa"/>
              <w:right w:w="120" w:type="dxa"/>
            </w:tcMar>
            <w:vAlign w:val="center"/>
          </w:tcPr>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1.应为</w:t>
            </w:r>
            <w:r>
              <w:rPr>
                <w:rFonts w:hint="eastAsia" w:ascii="仿宋_GB2312" w:hAnsi="仿宋_GB2312" w:eastAsia="仿宋_GB2312" w:cs="仿宋_GB2312"/>
                <w:sz w:val="24"/>
                <w:szCs w:val="24"/>
              </w:rPr>
              <w:t>以前年度实际发生的、按照税收规定应在企业所得税前扣除而未扣除或者少扣除的支出；</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2.企业应做出专项申报及说明；</w:t>
            </w:r>
          </w:p>
          <w:p>
            <w:pPr>
              <w:ind w:firstLine="480" w:firstLineChars="200"/>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3.准予追补至该项目发生年度计算扣除，但追补确认期限不得超过5年。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0" w:hRule="atLeast"/>
        </w:trPr>
        <w:tc>
          <w:tcPr>
            <w:tcW w:w="682"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19</w:t>
            </w:r>
          </w:p>
        </w:tc>
        <w:tc>
          <w:tcPr>
            <w:tcW w:w="0" w:type="auto"/>
            <w:vMerge w:val="continue"/>
            <w:shd w:val="clear" w:color="auto" w:fill="FFFFFF"/>
            <w:vAlign w:val="center"/>
          </w:tcPr>
          <w:p>
            <w:pPr>
              <w:jc w:val="center"/>
              <w:rPr>
                <w:rFonts w:hint="eastAsia" w:ascii="仿宋_GB2312" w:hAnsi="仿宋_GB2312" w:eastAsia="仿宋_GB2312" w:cs="仿宋_GB2312"/>
                <w:kern w:val="0"/>
                <w:sz w:val="24"/>
                <w:szCs w:val="24"/>
              </w:rPr>
            </w:pPr>
          </w:p>
        </w:tc>
        <w:tc>
          <w:tcPr>
            <w:tcW w:w="1301"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计提费用</w:t>
            </w:r>
          </w:p>
        </w:tc>
        <w:tc>
          <w:tcPr>
            <w:tcW w:w="6283" w:type="dxa"/>
            <w:shd w:val="clear" w:color="auto" w:fill="FFFFFF"/>
            <w:tcMar>
              <w:top w:w="120" w:type="dxa"/>
              <w:left w:w="120" w:type="dxa"/>
              <w:bottom w:w="120" w:type="dxa"/>
              <w:right w:w="120" w:type="dxa"/>
            </w:tcMar>
            <w:vAlign w:val="center"/>
          </w:tcPr>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计提尚未实际发生的费用，除</w:t>
            </w:r>
            <w:r>
              <w:rPr>
                <w:rFonts w:hint="eastAsia" w:ascii="仿宋_GB2312" w:hAnsi="仿宋_GB2312" w:eastAsia="仿宋_GB2312" w:cs="仿宋_GB2312"/>
                <w:sz w:val="24"/>
                <w:szCs w:val="24"/>
              </w:rPr>
              <w:t>另有规定外，</w:t>
            </w:r>
            <w:r>
              <w:rPr>
                <w:rFonts w:hint="eastAsia" w:ascii="仿宋_GB2312" w:hAnsi="仿宋_GB2312" w:eastAsia="仿宋_GB2312" w:cs="仿宋_GB2312"/>
                <w:kern w:val="0"/>
                <w:sz w:val="24"/>
                <w:szCs w:val="24"/>
              </w:rPr>
              <w:t>应做纳税调整。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5" w:hRule="atLeast"/>
        </w:trPr>
        <w:tc>
          <w:tcPr>
            <w:tcW w:w="682"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0" w:type="auto"/>
            <w:vMerge w:val="continue"/>
            <w:shd w:val="clear" w:color="auto" w:fill="FFFFFF"/>
            <w:vAlign w:val="center"/>
          </w:tcPr>
          <w:p>
            <w:pPr>
              <w:jc w:val="center"/>
              <w:rPr>
                <w:rFonts w:hint="eastAsia" w:ascii="仿宋_GB2312" w:hAnsi="仿宋_GB2312" w:eastAsia="仿宋_GB2312" w:cs="仿宋_GB2312"/>
                <w:kern w:val="0"/>
                <w:sz w:val="24"/>
                <w:szCs w:val="24"/>
              </w:rPr>
            </w:pPr>
          </w:p>
        </w:tc>
        <w:tc>
          <w:tcPr>
            <w:tcW w:w="1301"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历史成本原则</w:t>
            </w:r>
          </w:p>
        </w:tc>
        <w:tc>
          <w:tcPr>
            <w:tcW w:w="6283" w:type="dxa"/>
            <w:shd w:val="clear" w:color="auto" w:fill="FFFFFF"/>
            <w:tcMar>
              <w:top w:w="120" w:type="dxa"/>
              <w:left w:w="120" w:type="dxa"/>
              <w:bottom w:w="120" w:type="dxa"/>
              <w:right w:w="120" w:type="dxa"/>
            </w:tcMar>
            <w:vAlign w:val="center"/>
          </w:tcPr>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持有的各类资产发生的公允价值变动损益、计提的不符合国务院财政、税务主管部门规定的各项资产减值准备、风险准备等准备金支出等应按照税法规定的历史成本原则进行调整。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142" w:hRule="atLeast"/>
        </w:trPr>
        <w:tc>
          <w:tcPr>
            <w:tcW w:w="682"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21</w:t>
            </w:r>
          </w:p>
        </w:tc>
        <w:tc>
          <w:tcPr>
            <w:tcW w:w="0" w:type="auto"/>
            <w:vMerge w:val="continue"/>
            <w:shd w:val="clear" w:color="auto" w:fill="FFFFFF"/>
            <w:vAlign w:val="center"/>
          </w:tcPr>
          <w:p>
            <w:pPr>
              <w:jc w:val="center"/>
              <w:rPr>
                <w:rFonts w:hint="eastAsia" w:ascii="仿宋_GB2312" w:hAnsi="仿宋_GB2312" w:eastAsia="仿宋_GB2312" w:cs="仿宋_GB2312"/>
                <w:kern w:val="0"/>
                <w:sz w:val="24"/>
                <w:szCs w:val="24"/>
              </w:rPr>
            </w:pPr>
          </w:p>
        </w:tc>
        <w:tc>
          <w:tcPr>
            <w:tcW w:w="1301"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视同销售对应支出</w:t>
            </w:r>
          </w:p>
        </w:tc>
        <w:tc>
          <w:tcPr>
            <w:tcW w:w="6283" w:type="dxa"/>
            <w:shd w:val="clear" w:color="auto" w:fill="FFFFFF"/>
            <w:tcMar>
              <w:top w:w="120" w:type="dxa"/>
              <w:left w:w="120" w:type="dxa"/>
              <w:bottom w:w="120" w:type="dxa"/>
              <w:right w:w="120" w:type="dxa"/>
            </w:tcMar>
            <w:vAlign w:val="center"/>
          </w:tcPr>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企业将货物、资产、劳务用于捐赠、广告等用途时，进行视同销售纳税调整后，对应支出的会计处理与税收规定有差异的应进行纳税调整。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034" w:hRule="atLeast"/>
        </w:trPr>
        <w:tc>
          <w:tcPr>
            <w:tcW w:w="682"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w:t>
            </w:r>
          </w:p>
        </w:tc>
        <w:tc>
          <w:tcPr>
            <w:tcW w:w="0" w:type="auto"/>
            <w:vMerge w:val="continue"/>
            <w:shd w:val="clear" w:color="auto" w:fill="FFFFFF"/>
            <w:vAlign w:val="center"/>
          </w:tcPr>
          <w:p>
            <w:pPr>
              <w:jc w:val="center"/>
              <w:rPr>
                <w:rFonts w:hint="eastAsia" w:ascii="仿宋_GB2312" w:hAnsi="仿宋_GB2312" w:eastAsia="仿宋_GB2312" w:cs="仿宋_GB2312"/>
                <w:kern w:val="0"/>
                <w:sz w:val="24"/>
                <w:szCs w:val="24"/>
              </w:rPr>
            </w:pPr>
          </w:p>
        </w:tc>
        <w:tc>
          <w:tcPr>
            <w:tcW w:w="1301"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特殊行业准备金</w:t>
            </w:r>
          </w:p>
        </w:tc>
        <w:tc>
          <w:tcPr>
            <w:tcW w:w="6283" w:type="dxa"/>
            <w:shd w:val="clear" w:color="auto" w:fill="FFFFFF"/>
            <w:tcMar>
              <w:top w:w="120" w:type="dxa"/>
              <w:left w:w="120" w:type="dxa"/>
              <w:bottom w:w="120" w:type="dxa"/>
              <w:right w:w="120" w:type="dxa"/>
            </w:tcMar>
            <w:vAlign w:val="center"/>
          </w:tcPr>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提取准备金的资产范围应符合税收规定。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0" w:hRule="atLeast"/>
        </w:trPr>
        <w:tc>
          <w:tcPr>
            <w:tcW w:w="682"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23</w:t>
            </w:r>
          </w:p>
        </w:tc>
        <w:tc>
          <w:tcPr>
            <w:tcW w:w="0" w:type="auto"/>
            <w:vMerge w:val="continue"/>
            <w:shd w:val="clear" w:color="auto" w:fill="FFFFFF"/>
            <w:vAlign w:val="center"/>
          </w:tcPr>
          <w:p>
            <w:pPr>
              <w:jc w:val="center"/>
              <w:rPr>
                <w:rFonts w:hint="eastAsia" w:ascii="仿宋_GB2312" w:hAnsi="仿宋_GB2312" w:eastAsia="仿宋_GB2312" w:cs="仿宋_GB2312"/>
                <w:kern w:val="0"/>
                <w:sz w:val="24"/>
                <w:szCs w:val="24"/>
              </w:rPr>
            </w:pPr>
          </w:p>
        </w:tc>
        <w:tc>
          <w:tcPr>
            <w:tcW w:w="1301"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其他扣除项目</w:t>
            </w:r>
          </w:p>
        </w:tc>
        <w:tc>
          <w:tcPr>
            <w:tcW w:w="6283" w:type="dxa"/>
            <w:shd w:val="clear" w:color="auto" w:fill="FFFFFF"/>
            <w:tcMar>
              <w:top w:w="120" w:type="dxa"/>
              <w:left w:w="120" w:type="dxa"/>
              <w:bottom w:w="120" w:type="dxa"/>
              <w:right w:w="120" w:type="dxa"/>
            </w:tcMar>
            <w:vAlign w:val="center"/>
          </w:tcPr>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与取得</w:t>
            </w:r>
            <w:r>
              <w:rPr>
                <w:rFonts w:hint="eastAsia" w:ascii="仿宋_GB2312" w:hAnsi="仿宋_GB2312" w:eastAsia="仿宋_GB2312" w:cs="仿宋_GB2312"/>
                <w:kern w:val="0"/>
                <w:sz w:val="24"/>
                <w:szCs w:val="24"/>
              </w:rPr>
              <w:t>收入无关的</w:t>
            </w:r>
            <w:r>
              <w:rPr>
                <w:rFonts w:hint="eastAsia" w:ascii="仿宋_GB2312" w:hAnsi="仿宋_GB2312" w:eastAsia="仿宋_GB2312" w:cs="仿宋_GB2312"/>
                <w:kern w:val="0"/>
                <w:sz w:val="24"/>
                <w:szCs w:val="24"/>
                <w:lang w:eastAsia="zh-CN"/>
              </w:rPr>
              <w:t>其他支出</w:t>
            </w:r>
            <w:r>
              <w:rPr>
                <w:rFonts w:hint="eastAsia" w:ascii="仿宋_GB2312" w:hAnsi="仿宋_GB2312" w:eastAsia="仿宋_GB2312" w:cs="仿宋_GB2312"/>
                <w:kern w:val="0"/>
                <w:sz w:val="24"/>
                <w:szCs w:val="24"/>
              </w:rPr>
              <w:t>不得扣除。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0" w:hRule="atLeast"/>
        </w:trPr>
        <w:tc>
          <w:tcPr>
            <w:tcW w:w="682"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24</w:t>
            </w:r>
          </w:p>
        </w:tc>
        <w:tc>
          <w:tcPr>
            <w:tcW w:w="976" w:type="dxa"/>
            <w:vMerge w:val="restart"/>
            <w:shd w:val="clear" w:color="auto" w:fill="FFFFFF"/>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资产类</w:t>
            </w:r>
          </w:p>
        </w:tc>
        <w:tc>
          <w:tcPr>
            <w:tcW w:w="1301"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资产折旧</w:t>
            </w:r>
          </w:p>
        </w:tc>
        <w:tc>
          <w:tcPr>
            <w:tcW w:w="6283" w:type="dxa"/>
            <w:shd w:val="clear" w:color="auto" w:fill="FFFFFF"/>
            <w:tcMar>
              <w:top w:w="120" w:type="dxa"/>
              <w:left w:w="120" w:type="dxa"/>
              <w:bottom w:w="120" w:type="dxa"/>
              <w:right w:w="120" w:type="dxa"/>
            </w:tcMar>
            <w:vAlign w:val="center"/>
          </w:tcPr>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1.房屋、建筑物以外未投入使用的固定资产计提的折旧不得扣除；</w:t>
            </w:r>
          </w:p>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2.除符合条件采取加速折旧外，固定资产会计折旧年限如果短于税法规定的最低折旧年限，其按会计折旧年限计提的折旧高于按税法规定的最低折旧年限计提的折旧部分，应做纳税调整。</w:t>
            </w:r>
          </w:p>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3.固定资产按规定采取加速折旧的，税收与会计计算的折旧额有差异的，应做纳税调整。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0" w:hRule="atLeast"/>
        </w:trPr>
        <w:tc>
          <w:tcPr>
            <w:tcW w:w="682"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25</w:t>
            </w:r>
          </w:p>
        </w:tc>
        <w:tc>
          <w:tcPr>
            <w:tcW w:w="976" w:type="dxa"/>
            <w:vMerge w:val="continue"/>
            <w:shd w:val="clear" w:color="auto" w:fill="FFFFFF"/>
            <w:vAlign w:val="center"/>
          </w:tcPr>
          <w:p>
            <w:pPr>
              <w:jc w:val="center"/>
              <w:rPr>
                <w:rFonts w:hint="eastAsia" w:ascii="仿宋_GB2312" w:hAnsi="仿宋_GB2312" w:eastAsia="仿宋_GB2312" w:cs="仿宋_GB2312"/>
                <w:kern w:val="0"/>
                <w:sz w:val="24"/>
                <w:szCs w:val="24"/>
              </w:rPr>
            </w:pPr>
          </w:p>
        </w:tc>
        <w:tc>
          <w:tcPr>
            <w:tcW w:w="1301"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资产损失</w:t>
            </w:r>
          </w:p>
        </w:tc>
        <w:tc>
          <w:tcPr>
            <w:tcW w:w="6283" w:type="dxa"/>
            <w:shd w:val="clear" w:color="auto" w:fill="FFFFFF"/>
            <w:tcMar>
              <w:top w:w="120" w:type="dxa"/>
              <w:left w:w="120" w:type="dxa"/>
              <w:bottom w:w="120" w:type="dxa"/>
              <w:right w:w="120" w:type="dxa"/>
            </w:tcMar>
            <w:vAlign w:val="center"/>
          </w:tcPr>
          <w:p>
            <w:pPr>
              <w:widowControl/>
              <w:snapToGrid w:val="0"/>
              <w:spacing w:line="340" w:lineRule="exact"/>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企业发生的资产损失应符合税法规定扣除条件并进行申报扣除，</w:t>
            </w:r>
            <w:r>
              <w:rPr>
                <w:rFonts w:hint="eastAsia" w:ascii="仿宋_GB2312" w:hAnsi="仿宋_GB2312" w:eastAsia="仿宋_GB2312" w:cs="仿宋_GB2312"/>
                <w:kern w:val="0"/>
                <w:sz w:val="24"/>
                <w:szCs w:val="24"/>
                <w:lang w:eastAsia="zh-CN"/>
              </w:rPr>
              <w:t>填报</w:t>
            </w:r>
            <w:r>
              <w:rPr>
                <w:rFonts w:hint="eastAsia" w:ascii="仿宋_GB2312" w:hAnsi="仿宋_GB2312" w:eastAsia="仿宋_GB2312" w:cs="仿宋_GB2312"/>
                <w:kern w:val="0"/>
                <w:sz w:val="24"/>
                <w:szCs w:val="24"/>
                <w:lang w:val="en-US" w:eastAsia="zh-CN"/>
              </w:rPr>
              <w:t>《资产损失税前扣除及纳税调整明细表》（A105090），</w:t>
            </w:r>
            <w:r>
              <w:rPr>
                <w:rFonts w:hint="eastAsia" w:ascii="仿宋_GB2312" w:hAnsi="仿宋_GB2312" w:eastAsia="仿宋_GB2312" w:cs="仿宋_GB2312"/>
                <w:kern w:val="0"/>
                <w:sz w:val="24"/>
                <w:szCs w:val="24"/>
              </w:rPr>
              <w:t>同时完整保存资产损失相关资料备查，保证资料的真实性、合法性。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0" w:hRule="atLeast"/>
        </w:trPr>
        <w:tc>
          <w:tcPr>
            <w:tcW w:w="682"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26</w:t>
            </w:r>
          </w:p>
        </w:tc>
        <w:tc>
          <w:tcPr>
            <w:tcW w:w="0" w:type="auto"/>
            <w:shd w:val="clear" w:color="auto" w:fill="FFFFFF"/>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特殊事项</w:t>
            </w:r>
          </w:p>
        </w:tc>
        <w:tc>
          <w:tcPr>
            <w:tcW w:w="1301"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企业重组</w:t>
            </w:r>
          </w:p>
        </w:tc>
        <w:tc>
          <w:tcPr>
            <w:tcW w:w="6283" w:type="dxa"/>
            <w:shd w:val="clear" w:color="auto" w:fill="FFFFFF"/>
            <w:tcMar>
              <w:top w:w="120" w:type="dxa"/>
              <w:left w:w="120" w:type="dxa"/>
              <w:bottom w:w="120" w:type="dxa"/>
              <w:right w:w="120" w:type="dxa"/>
            </w:tcMar>
            <w:vAlign w:val="center"/>
          </w:tcPr>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1.同一重组业务的当事各方应采取一致税务处理原则，即统一按一般性或特殊性税务处理；</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2.企业适用特殊性税务处理的，除企业发生其他法律形式简单改变情形外，应在该重组业务完成当年，办理企业所得税年度申报时，报送《企业重组所得税特殊性税务处理报告表及附表》和申报资料。</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3.企业重组适用特殊性税务处理的，应符合税收规定的特殊性重组条件；</w:t>
            </w:r>
          </w:p>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4.非股权支付应在交易当期确认相应的资产转让所得或损失，并调整相应资产的计税基础。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5" w:hRule="atLeast"/>
        </w:trPr>
        <w:tc>
          <w:tcPr>
            <w:tcW w:w="682"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27</w:t>
            </w:r>
          </w:p>
        </w:tc>
        <w:tc>
          <w:tcPr>
            <w:tcW w:w="976"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弥补亏损</w:t>
            </w:r>
          </w:p>
        </w:tc>
        <w:tc>
          <w:tcPr>
            <w:tcW w:w="1301"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亏损弥补</w:t>
            </w:r>
          </w:p>
        </w:tc>
        <w:tc>
          <w:tcPr>
            <w:tcW w:w="6283" w:type="dxa"/>
            <w:shd w:val="clear" w:color="auto" w:fill="FFFFFF"/>
            <w:tcMar>
              <w:top w:w="120" w:type="dxa"/>
              <w:left w:w="120" w:type="dxa"/>
              <w:bottom w:w="120" w:type="dxa"/>
              <w:right w:w="120" w:type="dxa"/>
            </w:tcMar>
            <w:vAlign w:val="center"/>
          </w:tcPr>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1.是否存在弥补亏损的年限、顺序、金额不符合税收规定的问题；</w:t>
            </w:r>
          </w:p>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2.合并转入的亏损额、分立转入转出的亏损额是否正确。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050" w:hRule="atLeast"/>
        </w:trPr>
        <w:tc>
          <w:tcPr>
            <w:tcW w:w="682"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28</w:t>
            </w:r>
          </w:p>
        </w:tc>
        <w:tc>
          <w:tcPr>
            <w:tcW w:w="976" w:type="dxa"/>
            <w:vMerge w:val="restart"/>
            <w:shd w:val="clear" w:color="auto" w:fill="FFFFFF"/>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税收优惠</w:t>
            </w:r>
          </w:p>
        </w:tc>
        <w:tc>
          <w:tcPr>
            <w:tcW w:w="1301"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优惠项目管理</w:t>
            </w:r>
          </w:p>
        </w:tc>
        <w:tc>
          <w:tcPr>
            <w:tcW w:w="6283" w:type="dxa"/>
            <w:shd w:val="clear" w:color="auto" w:fill="FFFFFF"/>
            <w:tcMar>
              <w:top w:w="120" w:type="dxa"/>
              <w:left w:w="120" w:type="dxa"/>
              <w:bottom w:w="120" w:type="dxa"/>
              <w:right w:w="120" w:type="dxa"/>
            </w:tcMar>
            <w:vAlign w:val="center"/>
          </w:tcPr>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1.纳税人是否符合税收优惠的条件；</w:t>
            </w:r>
          </w:p>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2.税收优惠有规定期限的，享受优惠的起始年度是否符合税法规定，到期后是否停止享受税收优惠；</w:t>
            </w:r>
          </w:p>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3.在优惠期限内享受两免三减半、三免三减半、五免五减半等优惠的，当年计算的税收优惠金额是否正确；</w:t>
            </w:r>
          </w:p>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4.企业同时从事适用不同企业所得税待遇项目的，其优惠项目是否单独计算所得，并合理分摊企业的期间费用；</w:t>
            </w:r>
          </w:p>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5.在填报企业所得税年度申报表时，优惠项目填写是否准确；不征税收入和免税收入是否混淆填报。</w:t>
            </w:r>
          </w:p>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6.在完成年度汇算清缴后，是否将留存备查资料归集齐全并整理完成，以备税务机关核查</w:t>
            </w: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050" w:hRule="atLeast"/>
        </w:trPr>
        <w:tc>
          <w:tcPr>
            <w:tcW w:w="682"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29</w:t>
            </w:r>
          </w:p>
        </w:tc>
        <w:tc>
          <w:tcPr>
            <w:tcW w:w="976" w:type="dxa"/>
            <w:vMerge w:val="continue"/>
            <w:shd w:val="clear" w:color="auto" w:fill="FFFFFF"/>
            <w:vAlign w:val="center"/>
          </w:tcPr>
          <w:p>
            <w:pPr>
              <w:jc w:val="center"/>
              <w:rPr>
                <w:rFonts w:hint="eastAsia" w:ascii="仿宋_GB2312" w:hAnsi="仿宋_GB2312" w:eastAsia="仿宋_GB2312" w:cs="仿宋_GB2312"/>
                <w:kern w:val="0"/>
                <w:sz w:val="24"/>
                <w:szCs w:val="24"/>
              </w:rPr>
            </w:pPr>
          </w:p>
        </w:tc>
        <w:tc>
          <w:tcPr>
            <w:tcW w:w="1301" w:type="dxa"/>
            <w:shd w:val="clear" w:color="auto" w:fill="FFFFFF"/>
            <w:tcMar>
              <w:top w:w="120" w:type="dxa"/>
              <w:left w:w="120" w:type="dxa"/>
              <w:bottom w:w="120" w:type="dxa"/>
              <w:right w:w="120" w:type="dxa"/>
            </w:tcMar>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研发费用加计扣除</w:t>
            </w:r>
          </w:p>
        </w:tc>
        <w:tc>
          <w:tcPr>
            <w:tcW w:w="6283" w:type="dxa"/>
            <w:shd w:val="clear" w:color="auto" w:fill="FFFFFF"/>
            <w:tcMar>
              <w:top w:w="120" w:type="dxa"/>
              <w:left w:w="120" w:type="dxa"/>
              <w:bottom w:w="120" w:type="dxa"/>
              <w:right w:w="120" w:type="dxa"/>
            </w:tcMar>
            <w:vAlign w:val="center"/>
          </w:tcPr>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1.按研发项目设置辅助账，准确归集核算各项研发费用；</w:t>
            </w:r>
          </w:p>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2.负面清单行业不得享受研发</w:t>
            </w:r>
            <w:r>
              <w:rPr>
                <w:rFonts w:hint="eastAsia" w:ascii="仿宋_GB2312" w:hAnsi="仿宋_GB2312" w:eastAsia="仿宋_GB2312" w:cs="仿宋_GB2312"/>
                <w:kern w:val="0"/>
                <w:sz w:val="24"/>
                <w:szCs w:val="24"/>
                <w:lang w:eastAsia="zh-CN"/>
              </w:rPr>
              <w:t>用</w:t>
            </w:r>
            <w:r>
              <w:rPr>
                <w:rFonts w:hint="eastAsia" w:ascii="仿宋_GB2312" w:hAnsi="仿宋_GB2312" w:eastAsia="仿宋_GB2312" w:cs="仿宋_GB2312"/>
                <w:kern w:val="0"/>
                <w:sz w:val="24"/>
                <w:szCs w:val="24"/>
              </w:rPr>
              <w:t>加计扣除；</w:t>
            </w:r>
          </w:p>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3.高新技术企业、科技型中小企业、软件和集成电路企业、动漫企业等有研发支出的企业，是否按规定享受了研发费</w:t>
            </w:r>
            <w:r>
              <w:rPr>
                <w:rFonts w:hint="eastAsia" w:ascii="仿宋_GB2312" w:hAnsi="仿宋_GB2312" w:eastAsia="仿宋_GB2312" w:cs="仿宋_GB2312"/>
                <w:kern w:val="0"/>
                <w:sz w:val="24"/>
                <w:szCs w:val="24"/>
                <w:lang w:eastAsia="zh-CN"/>
              </w:rPr>
              <w:t>用</w:t>
            </w:r>
            <w:r>
              <w:rPr>
                <w:rFonts w:hint="eastAsia" w:ascii="仿宋_GB2312" w:hAnsi="仿宋_GB2312" w:eastAsia="仿宋_GB2312" w:cs="仿宋_GB2312"/>
                <w:kern w:val="0"/>
                <w:sz w:val="24"/>
                <w:szCs w:val="24"/>
              </w:rPr>
              <w:t>加计扣除；</w:t>
            </w:r>
          </w:p>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4.是否将不属于研发活动的项目进行了加计扣除；</w:t>
            </w:r>
          </w:p>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.企业取得作为不征税收入处理的财政性资金用于研发活动形成的费用或无形资产，不得加计扣除或摊销。</w:t>
            </w:r>
          </w:p>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6</w:t>
            </w:r>
            <w:r>
              <w:rPr>
                <w:rFonts w:hint="eastAsia" w:ascii="仿宋_GB2312" w:hAnsi="仿宋_GB2312" w:eastAsia="仿宋_GB2312" w:cs="仿宋_GB2312"/>
                <w:kern w:val="0"/>
                <w:sz w:val="24"/>
                <w:szCs w:val="24"/>
              </w:rPr>
              <w:t>. 研发</w:t>
            </w:r>
            <w:r>
              <w:rPr>
                <w:rFonts w:hint="eastAsia" w:ascii="仿宋_GB2312" w:hAnsi="仿宋_GB2312" w:eastAsia="仿宋_GB2312" w:cs="仿宋_GB2312"/>
                <w:kern w:val="0"/>
                <w:sz w:val="24"/>
                <w:szCs w:val="24"/>
                <w:lang w:eastAsia="zh-CN"/>
              </w:rPr>
              <w:t>用房屋</w:t>
            </w:r>
            <w:r>
              <w:rPr>
                <w:rFonts w:hint="eastAsia" w:ascii="仿宋_GB2312" w:hAnsi="仿宋_GB2312" w:eastAsia="仿宋_GB2312" w:cs="仿宋_GB2312"/>
                <w:kern w:val="0"/>
                <w:sz w:val="24"/>
                <w:szCs w:val="24"/>
              </w:rPr>
              <w:t>折旧费、</w:t>
            </w:r>
            <w:r>
              <w:rPr>
                <w:rFonts w:hint="eastAsia" w:ascii="仿宋_GB2312" w:hAnsi="仿宋_GB2312" w:eastAsia="仿宋_GB2312" w:cs="仿宋_GB2312"/>
                <w:kern w:val="0"/>
                <w:sz w:val="24"/>
                <w:szCs w:val="24"/>
                <w:lang w:eastAsia="zh-CN"/>
              </w:rPr>
              <w:t>培训费、通讯费、市场调研费、</w:t>
            </w:r>
            <w:r>
              <w:rPr>
                <w:rFonts w:hint="eastAsia" w:ascii="仿宋_GB2312" w:hAnsi="仿宋_GB2312" w:eastAsia="仿宋_GB2312" w:cs="仿宋_GB2312"/>
                <w:kern w:val="0"/>
                <w:sz w:val="24"/>
                <w:szCs w:val="24"/>
              </w:rPr>
              <w:t>工会经费、职工教育经费</w:t>
            </w:r>
            <w:r>
              <w:rPr>
                <w:rFonts w:hint="eastAsia" w:ascii="仿宋_GB2312" w:hAnsi="仿宋_GB2312" w:eastAsia="仿宋_GB2312" w:cs="仿宋_GB2312"/>
                <w:kern w:val="0"/>
                <w:sz w:val="24"/>
                <w:szCs w:val="24"/>
                <w:lang w:val="en-US" w:eastAsia="zh-CN"/>
              </w:rPr>
              <w:t>、业务招待费</w:t>
            </w:r>
            <w:r>
              <w:rPr>
                <w:rFonts w:hint="eastAsia" w:ascii="仿宋_GB2312" w:hAnsi="仿宋_GB2312" w:eastAsia="仿宋_GB2312" w:cs="仿宋_GB2312"/>
                <w:kern w:val="0"/>
                <w:sz w:val="24"/>
                <w:szCs w:val="24"/>
              </w:rPr>
              <w:t>等费用不属于</w:t>
            </w:r>
            <w:r>
              <w:rPr>
                <w:rFonts w:hint="eastAsia" w:ascii="仿宋_GB2312" w:hAnsi="仿宋_GB2312" w:eastAsia="仿宋_GB2312" w:cs="仿宋_GB2312"/>
                <w:kern w:val="0"/>
                <w:sz w:val="24"/>
                <w:szCs w:val="24"/>
                <w:lang w:eastAsia="zh-CN"/>
              </w:rPr>
              <w:t>研发费用</w:t>
            </w:r>
            <w:r>
              <w:rPr>
                <w:rFonts w:hint="eastAsia" w:ascii="仿宋_GB2312" w:hAnsi="仿宋_GB2312" w:eastAsia="仿宋_GB2312" w:cs="仿宋_GB2312"/>
                <w:kern w:val="0"/>
                <w:sz w:val="24"/>
                <w:szCs w:val="24"/>
              </w:rPr>
              <w:t>加计扣除的范围。</w:t>
            </w:r>
          </w:p>
          <w:p>
            <w:pPr>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7.是否在申报</w:t>
            </w:r>
            <w:r>
              <w:rPr>
                <w:rFonts w:hint="eastAsia" w:ascii="仿宋_GB2312" w:hAnsi="仿宋_GB2312" w:eastAsia="仿宋_GB2312" w:cs="仿宋_GB2312"/>
                <w:kern w:val="0"/>
                <w:sz w:val="24"/>
                <w:szCs w:val="24"/>
                <w:lang w:val="en-US" w:eastAsia="zh-CN" w:bidi="ar"/>
              </w:rPr>
              <w:t>研发费用加计扣除的同时，发生异常纳税调增项目。</w:t>
            </w:r>
          </w:p>
        </w:tc>
      </w:tr>
    </w:tbl>
    <w:p>
      <w:pPr>
        <w:jc w:val="left"/>
        <w:rPr>
          <w:rFonts w:hint="eastAsia" w:ascii="仿宋_GB2312" w:hAnsi="仿宋_GB2312" w:eastAsia="仿宋_GB2312" w:cs="仿宋_GB2312"/>
          <w:sz w:val="24"/>
          <w:szCs w:val="24"/>
        </w:rPr>
      </w:pPr>
    </w:p>
    <w:sectPr>
      <w:footerReference r:id="rId3" w:type="default"/>
      <w:pgSz w:w="11906" w:h="16838"/>
      <w:pgMar w:top="1417" w:right="1474" w:bottom="1417"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545991"/>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3FBCE4"/>
    <w:multiLevelType w:val="singleLevel"/>
    <w:tmpl w:val="603FBCE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F314A"/>
    <w:rsid w:val="00046A77"/>
    <w:rsid w:val="000A245E"/>
    <w:rsid w:val="000E583E"/>
    <w:rsid w:val="00100925"/>
    <w:rsid w:val="00112E2B"/>
    <w:rsid w:val="001666CC"/>
    <w:rsid w:val="00181815"/>
    <w:rsid w:val="001F7A9C"/>
    <w:rsid w:val="002D5DCB"/>
    <w:rsid w:val="003074DA"/>
    <w:rsid w:val="0039084C"/>
    <w:rsid w:val="00421FF8"/>
    <w:rsid w:val="00484004"/>
    <w:rsid w:val="004A5676"/>
    <w:rsid w:val="00523FE0"/>
    <w:rsid w:val="00576B9A"/>
    <w:rsid w:val="006A3137"/>
    <w:rsid w:val="0080784C"/>
    <w:rsid w:val="008813CB"/>
    <w:rsid w:val="008F63E4"/>
    <w:rsid w:val="009F613F"/>
    <w:rsid w:val="00A56E2E"/>
    <w:rsid w:val="00A83794"/>
    <w:rsid w:val="00B1028B"/>
    <w:rsid w:val="00BB45D4"/>
    <w:rsid w:val="00C34D0E"/>
    <w:rsid w:val="00D06C4C"/>
    <w:rsid w:val="00D16359"/>
    <w:rsid w:val="00D963E9"/>
    <w:rsid w:val="00DE7B7F"/>
    <w:rsid w:val="00E01414"/>
    <w:rsid w:val="00F5142C"/>
    <w:rsid w:val="02953329"/>
    <w:rsid w:val="060C0524"/>
    <w:rsid w:val="067C0CD1"/>
    <w:rsid w:val="0BB34CBD"/>
    <w:rsid w:val="0D875A27"/>
    <w:rsid w:val="10DE705B"/>
    <w:rsid w:val="13384805"/>
    <w:rsid w:val="143C41C8"/>
    <w:rsid w:val="14E77CC9"/>
    <w:rsid w:val="1E6B03ED"/>
    <w:rsid w:val="1E8C158C"/>
    <w:rsid w:val="1EC74D0A"/>
    <w:rsid w:val="227E4B0E"/>
    <w:rsid w:val="234D77C9"/>
    <w:rsid w:val="265E3AE8"/>
    <w:rsid w:val="27E72D93"/>
    <w:rsid w:val="292B6772"/>
    <w:rsid w:val="2ABC59A7"/>
    <w:rsid w:val="2BAA41C7"/>
    <w:rsid w:val="2C577AC4"/>
    <w:rsid w:val="2C5F5C65"/>
    <w:rsid w:val="34304F8F"/>
    <w:rsid w:val="38B63D02"/>
    <w:rsid w:val="3C7E5DC8"/>
    <w:rsid w:val="3E3E7634"/>
    <w:rsid w:val="3FAA3421"/>
    <w:rsid w:val="413E7423"/>
    <w:rsid w:val="419D2855"/>
    <w:rsid w:val="45F25193"/>
    <w:rsid w:val="48262E02"/>
    <w:rsid w:val="4D8E5751"/>
    <w:rsid w:val="4F036BD0"/>
    <w:rsid w:val="53BF314A"/>
    <w:rsid w:val="55B177B9"/>
    <w:rsid w:val="5BB46756"/>
    <w:rsid w:val="5EF47A35"/>
    <w:rsid w:val="60493F7A"/>
    <w:rsid w:val="61A906C1"/>
    <w:rsid w:val="65BF4B09"/>
    <w:rsid w:val="6A0E5517"/>
    <w:rsid w:val="6D674E97"/>
    <w:rsid w:val="73BD13C0"/>
    <w:rsid w:val="75341F79"/>
    <w:rsid w:val="79A676B4"/>
    <w:rsid w:val="7AF52DF0"/>
    <w:rsid w:val="7DFA056B"/>
    <w:rsid w:val="7DFA6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line="413" w:lineRule="auto"/>
      <w:outlineLvl w:val="2"/>
    </w:pPr>
    <w:rPr>
      <w:b/>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566</Words>
  <Characters>3232</Characters>
  <Lines>26</Lines>
  <Paragraphs>7</Paragraphs>
  <TotalTime>106</TotalTime>
  <ScaleCrop>false</ScaleCrop>
  <LinksUpToDate>false</LinksUpToDate>
  <CharactersWithSpaces>3791</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2022-03-07T03:27:00Z</dcterms:created>
  <dc:creator>唐华伟</dc:creator>
  <cp:lastModifiedBy>武广文</cp:lastModifiedBy>
  <cp:lastPrinted>2022-03-09T00:57:00Z</cp:lastPrinted>
  <dcterms:modified xsi:type="dcterms:W3CDTF">2024-03-08T03:40:56Z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