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国标黑体" w:hAnsi="国标黑体" w:eastAsia="国标黑体" w:cs="国标黑体"/>
          <w:sz w:val="32"/>
          <w:szCs w:val="32"/>
          <w:lang w:val="en-US" w:eastAsia="zh-CN"/>
        </w:rPr>
      </w:pPr>
      <w:r>
        <w:rPr>
          <w:rFonts w:hint="eastAsia" w:ascii="国标黑体" w:hAnsi="国标黑体" w:eastAsia="国标黑体" w:cs="国标黑体"/>
          <w:sz w:val="32"/>
          <w:szCs w:val="32"/>
          <w:lang w:eastAsia="zh-CN"/>
        </w:rPr>
        <w:t>附件</w:t>
      </w:r>
      <w:r>
        <w:rPr>
          <w:rFonts w:hint="eastAsia" w:ascii="国标黑体" w:hAnsi="国标黑体" w:eastAsia="国标黑体" w:cs="国标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国标黑体" w:hAnsi="国标黑体" w:eastAsia="国标黑体" w:cs="国标黑体"/>
          <w:sz w:val="32"/>
          <w:szCs w:val="32"/>
          <w:lang w:val="en-US" w:eastAsia="zh-CN"/>
        </w:rPr>
      </w:pPr>
    </w:p>
    <w:p>
      <w:pPr>
        <w:pStyle w:val="6"/>
        <w:numPr>
          <w:ilvl w:val="0"/>
          <w:numId w:val="0"/>
        </w:numPr>
        <w:bidi w:val="0"/>
        <w:jc w:val="center"/>
        <w:rPr>
          <w:rFonts w:hint="eastAsia" w:ascii="华文中宋" w:hAnsi="华文中宋" w:eastAsia="华文中宋" w:cs="华文中宋"/>
          <w:sz w:val="44"/>
          <w:szCs w:val="44"/>
          <w:lang w:val="en-US" w:eastAsia="zh-CN"/>
        </w:rPr>
      </w:pPr>
      <w:bookmarkStart w:id="0" w:name="_GoBack"/>
      <w:r>
        <w:rPr>
          <w:rFonts w:hint="eastAsia" w:ascii="华文中宋" w:hAnsi="华文中宋" w:eastAsia="华文中宋" w:cs="华文中宋"/>
          <w:sz w:val="44"/>
          <w:szCs w:val="44"/>
          <w:lang w:val="en-US" w:eastAsia="zh-CN"/>
        </w:rPr>
        <w:t>山西省资产评估协会执业会员继续教育</w:t>
      </w:r>
    </w:p>
    <w:p>
      <w:pPr>
        <w:pStyle w:val="6"/>
        <w:numPr>
          <w:ilvl w:val="0"/>
          <w:numId w:val="0"/>
        </w:numPr>
        <w:bidi w:val="0"/>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实施办法</w:t>
      </w:r>
    </w:p>
    <w:bookmarkEnd w:id="0"/>
    <w:p>
      <w:pPr>
        <w:rPr>
          <w:rFonts w:hint="eastAsia"/>
        </w:rPr>
      </w:pP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第一章 总  则</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第一条</w:t>
      </w:r>
      <w:r>
        <w:rPr>
          <w:rFonts w:hint="eastAsia" w:ascii="仿宋_GB2312" w:hAnsi="仿宋" w:eastAsia="仿宋_GB2312" w:cs="宋体"/>
          <w:kern w:val="0"/>
          <w:sz w:val="32"/>
          <w:szCs w:val="32"/>
        </w:rPr>
        <w:t xml:space="preserve"> 为规范山西省资产评估协会（以下简称省评协）执业会员继续教育工作，不断提升执业会员的专业素质、执业能力和职业道德水平，建设高素质的执业队伍，确保执业质量和社会公信力，根据《中国资产评估协会执业会员继续教育管理办法》和《山西省资产评估协会章程》等相关规定，</w:t>
      </w:r>
      <w:r>
        <w:rPr>
          <w:rFonts w:hint="eastAsia" w:ascii="仿宋_GB2312" w:hAnsi="仿宋" w:eastAsia="仿宋_GB2312" w:cs="宋体"/>
          <w:kern w:val="0"/>
          <w:sz w:val="32"/>
          <w:szCs w:val="32"/>
          <w:lang w:eastAsia="zh-CN"/>
        </w:rPr>
        <w:t>结合工作实际，</w:t>
      </w:r>
      <w:r>
        <w:rPr>
          <w:rFonts w:hint="eastAsia" w:ascii="仿宋_GB2312" w:hAnsi="仿宋" w:eastAsia="仿宋_GB2312" w:cs="宋体"/>
          <w:kern w:val="0"/>
          <w:sz w:val="32"/>
          <w:szCs w:val="32"/>
        </w:rPr>
        <w:t>制定本办法。</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第二条</w:t>
      </w:r>
      <w:r>
        <w:rPr>
          <w:rFonts w:hint="eastAsia" w:ascii="仿宋_GB2312" w:hAnsi="仿宋" w:eastAsia="仿宋_GB2312" w:cs="宋体"/>
          <w:kern w:val="0"/>
          <w:sz w:val="32"/>
          <w:szCs w:val="32"/>
        </w:rPr>
        <w:t xml:space="preserve"> 本办法适用于省评协所属的资产评估机构（包括外省资产评估机构在我省设立的分支机构，以下统称评估机构）及执业会员（以下简称执业会员）。</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第三条</w:t>
      </w:r>
      <w:r>
        <w:rPr>
          <w:rFonts w:hint="eastAsia" w:ascii="仿宋_GB2312" w:hAnsi="仿宋" w:eastAsia="仿宋_GB2312" w:cs="宋体"/>
          <w:kern w:val="0"/>
          <w:sz w:val="32"/>
          <w:szCs w:val="32"/>
        </w:rPr>
        <w:t xml:space="preserve"> 本办法所称继续教育是指执业会员为保持和提高其专业素质、执业能力和职业道德水平进行的学习及相关活动。</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第四条</w:t>
      </w:r>
      <w:r>
        <w:rPr>
          <w:rFonts w:hint="eastAsia" w:ascii="仿宋_GB2312" w:hAnsi="仿宋" w:eastAsia="仿宋_GB2312" w:cs="宋体"/>
          <w:kern w:val="0"/>
          <w:sz w:val="32"/>
          <w:szCs w:val="32"/>
        </w:rPr>
        <w:t xml:space="preserve"> 执业会员继续教育应当以服务经济社会发展为导向，以职业道德和能力建设为核心，坚持理论联系实际、按需施教、注重实效、突出针对性和前瞻性的原则。</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第五条</w:t>
      </w:r>
      <w:r>
        <w:rPr>
          <w:rFonts w:hint="eastAsia" w:ascii="仿宋_GB2312" w:hAnsi="仿宋" w:eastAsia="仿宋_GB2312" w:cs="宋体"/>
          <w:kern w:val="0"/>
          <w:sz w:val="32"/>
          <w:szCs w:val="32"/>
        </w:rPr>
        <w:t xml:space="preserve"> 执业会员享有继续教育的权利和履行继续教育的义务。执业会员应当按照要求接受继续教育。</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资产评估机构应当保障本机构执业会员参加继续教育的权利。</w:t>
      </w:r>
      <w:r>
        <w:rPr>
          <w:rFonts w:hint="eastAsia" w:ascii="仿宋_GB2312" w:hAnsi="仿宋" w:eastAsia="仿宋_GB2312" w:cs="宋体"/>
          <w:kern w:val="0"/>
          <w:sz w:val="32"/>
          <w:szCs w:val="32"/>
          <w:lang w:eastAsia="zh-CN"/>
        </w:rPr>
        <w:t>省评协管辖范围内</w:t>
      </w:r>
      <w:r>
        <w:rPr>
          <w:rFonts w:hint="eastAsia" w:ascii="仿宋_GB2312" w:hAnsi="仿宋" w:eastAsia="仿宋_GB2312" w:cs="宋体"/>
          <w:kern w:val="0"/>
          <w:sz w:val="32"/>
          <w:szCs w:val="32"/>
        </w:rPr>
        <w:t>执业会员有义务按照本办法的要求完成继续教育，任何机构和个人不得以任何理由拒绝、限制或剥夺阻扰执业会员参加继续教育的权利。</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在评估机构担任助理工作的从业人员可以参加执业会员继续教育的学习</w:t>
      </w:r>
      <w:r>
        <w:rPr>
          <w:rFonts w:hint="eastAsia" w:ascii="仿宋_GB2312" w:hAnsi="仿宋" w:eastAsia="仿宋_GB2312" w:cs="宋体"/>
          <w:kern w:val="0"/>
          <w:sz w:val="32"/>
          <w:szCs w:val="32"/>
          <w:lang w:eastAsia="zh-CN"/>
        </w:rPr>
        <w:t>活动</w:t>
      </w:r>
      <w:r>
        <w:rPr>
          <w:rFonts w:hint="eastAsia" w:ascii="仿宋_GB2312" w:hAnsi="仿宋" w:eastAsia="仿宋_GB2312" w:cs="宋体"/>
          <w:kern w:val="0"/>
          <w:sz w:val="32"/>
          <w:szCs w:val="32"/>
        </w:rPr>
        <w:t>。</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第六条</w:t>
      </w:r>
      <w:r>
        <w:rPr>
          <w:rFonts w:hint="eastAsia" w:ascii="仿宋_GB2312" w:hAnsi="仿宋" w:eastAsia="仿宋_GB2312" w:cs="宋体"/>
          <w:kern w:val="0"/>
          <w:sz w:val="32"/>
          <w:szCs w:val="32"/>
        </w:rPr>
        <w:t xml:space="preserve"> 省评协应当按照中评协执业会员继续教育管理机制，充分发挥资产评估机构在执业会员继续教育中的作用。</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省评协和资产评估机构应当保障执业会员继续教育经费投入。</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第二章 继续教育的组织管理</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第七条</w:t>
      </w:r>
      <w:r>
        <w:rPr>
          <w:rFonts w:hint="eastAsia" w:ascii="仿宋_GB2312" w:hAnsi="仿宋" w:eastAsia="仿宋_GB2312" w:cs="宋体"/>
          <w:kern w:val="0"/>
          <w:sz w:val="32"/>
          <w:szCs w:val="32"/>
        </w:rPr>
        <w:t xml:space="preserve"> 执业会员继续教育实行统一管理，分级负责。省评协是本会执业会员继续教育的管理和组织实施机构，省评协人才工作委员会负责本会执业会员继续教育的指导和决策工作。</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第八条</w:t>
      </w:r>
      <w:r>
        <w:rPr>
          <w:rFonts w:hint="eastAsia" w:ascii="仿宋_GB2312" w:hAnsi="仿宋" w:eastAsia="仿宋_GB2312" w:cs="宋体"/>
          <w:kern w:val="0"/>
          <w:sz w:val="32"/>
          <w:szCs w:val="32"/>
        </w:rPr>
        <w:t xml:space="preserve"> 省评协负责本会执业会员继续教育的组织管理和实施</w:t>
      </w:r>
      <w:r>
        <w:rPr>
          <w:rFonts w:hint="eastAsia" w:ascii="仿宋_GB2312" w:hAnsi="仿宋" w:eastAsia="仿宋_GB2312" w:cs="宋体"/>
          <w:kern w:val="0"/>
          <w:sz w:val="32"/>
          <w:szCs w:val="32"/>
          <w:lang w:eastAsia="zh-CN"/>
        </w:rPr>
        <w:t>工作</w:t>
      </w:r>
      <w:r>
        <w:rPr>
          <w:rFonts w:hint="eastAsia" w:ascii="仿宋_GB2312" w:hAnsi="仿宋" w:eastAsia="仿宋_GB2312" w:cs="宋体"/>
          <w:kern w:val="0"/>
          <w:sz w:val="32"/>
          <w:szCs w:val="32"/>
        </w:rPr>
        <w:t>。具体包括：</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（一）制定本会执业会员继续教育实施办法； </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（二）征集执业会员关于继续教育方面的意见和建议，制定并组织实施执业会员继续教育年度计划； </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（三）组织编写执业会员继续教育培训教材；</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（四）组织本会执业会员参加中评协组织或中评协委托组织的继续教育培训</w:t>
      </w:r>
      <w:r>
        <w:rPr>
          <w:rFonts w:hint="eastAsia" w:ascii="仿宋_GB2312" w:hAnsi="仿宋" w:eastAsia="仿宋_GB2312" w:cs="宋体"/>
          <w:kern w:val="0"/>
          <w:sz w:val="32"/>
          <w:szCs w:val="32"/>
          <w:lang w:eastAsia="zh-CN"/>
        </w:rPr>
        <w:t>活动</w:t>
      </w:r>
      <w:r>
        <w:rPr>
          <w:rFonts w:hint="eastAsia" w:ascii="仿宋_GB2312" w:hAnsi="仿宋" w:eastAsia="仿宋_GB2312" w:cs="宋体"/>
          <w:kern w:val="0"/>
          <w:sz w:val="32"/>
          <w:szCs w:val="32"/>
        </w:rPr>
        <w:t>；</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（五）审核认定资产评估机构内部培训资格，并报中评协备案； </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（六）制定资产评估机构内部培训管理办法,指导、评价资产评估机构内部培训工作；</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（七）指导资产评估机构新聘助理人员和实习生的教育培训工作。</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第九条</w:t>
      </w:r>
      <w:r>
        <w:rPr>
          <w:rFonts w:hint="eastAsia" w:ascii="仿宋_GB2312" w:hAnsi="仿宋" w:eastAsia="仿宋_GB2312" w:cs="宋体"/>
          <w:kern w:val="0"/>
          <w:sz w:val="32"/>
          <w:szCs w:val="32"/>
        </w:rPr>
        <w:t xml:space="preserve"> 资产评估机构负责组织和督促本机构执业会员接受继续教育，并提供必要的学习条件。</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第十条</w:t>
      </w:r>
      <w:r>
        <w:rPr>
          <w:rFonts w:hint="eastAsia" w:ascii="仿宋_GB2312" w:hAnsi="仿宋" w:eastAsia="仿宋_GB2312" w:cs="宋体"/>
          <w:kern w:val="0"/>
          <w:sz w:val="32"/>
          <w:szCs w:val="32"/>
        </w:rPr>
        <w:t xml:space="preserve"> 省评协每年下发年度继续教育培训工作计划，明确本年度的继续教育培训要求、方式和安排等。并于每期继续教育培训开班前向资产评估机构下发继续教育培训通知。</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第十一条</w:t>
      </w:r>
      <w:r>
        <w:rPr>
          <w:rFonts w:hint="eastAsia" w:ascii="仿宋_GB2312" w:hAnsi="仿宋" w:eastAsia="仿宋_GB2312" w:cs="宋体"/>
          <w:kern w:val="0"/>
          <w:sz w:val="32"/>
          <w:szCs w:val="32"/>
        </w:rPr>
        <w:t xml:space="preserve"> 省评协对继续教育培训班实施跟踪管理，并通过学员问卷调查或其他</w:t>
      </w:r>
      <w:r>
        <w:rPr>
          <w:rFonts w:hint="eastAsia" w:ascii="仿宋_GB2312" w:hAnsi="仿宋" w:eastAsia="仿宋_GB2312" w:cs="宋体"/>
          <w:kern w:val="0"/>
          <w:sz w:val="32"/>
          <w:szCs w:val="32"/>
          <w:lang w:eastAsia="zh-CN"/>
        </w:rPr>
        <w:t>方</w:t>
      </w:r>
      <w:r>
        <w:rPr>
          <w:rFonts w:hint="eastAsia" w:ascii="仿宋_GB2312" w:hAnsi="仿宋" w:eastAsia="仿宋_GB2312" w:cs="宋体"/>
          <w:kern w:val="0"/>
          <w:sz w:val="32"/>
          <w:szCs w:val="32"/>
        </w:rPr>
        <w:t>式，对培训课程设置、授课质量、配套服务进行实时监测和跟踪评价，及时了解资产评估机构和执业会员的培训</w:t>
      </w:r>
      <w:r>
        <w:rPr>
          <w:rFonts w:hint="eastAsia" w:ascii="仿宋_GB2312" w:hAnsi="仿宋" w:eastAsia="仿宋_GB2312" w:cs="宋体"/>
          <w:kern w:val="0"/>
          <w:sz w:val="32"/>
          <w:szCs w:val="32"/>
          <w:lang w:eastAsia="zh-CN"/>
        </w:rPr>
        <w:t>质量，并根据情况加以改进</w:t>
      </w:r>
      <w:r>
        <w:rPr>
          <w:rFonts w:hint="eastAsia" w:ascii="仿宋_GB2312" w:hAnsi="仿宋" w:eastAsia="仿宋_GB2312" w:cs="宋体"/>
          <w:kern w:val="0"/>
          <w:sz w:val="32"/>
          <w:szCs w:val="32"/>
        </w:rPr>
        <w:t>。</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第十二条</w:t>
      </w:r>
      <w:r>
        <w:rPr>
          <w:rFonts w:hint="eastAsia" w:ascii="仿宋_GB2312" w:hAnsi="仿宋" w:eastAsia="仿宋_GB2312" w:cs="宋体"/>
          <w:kern w:val="0"/>
          <w:sz w:val="32"/>
          <w:szCs w:val="32"/>
        </w:rPr>
        <w:t xml:space="preserve"> 资产评估机构具备下列条件的，可在每年度的</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15</w:t>
      </w:r>
      <w:r>
        <w:rPr>
          <w:rFonts w:hint="eastAsia" w:ascii="仿宋_GB2312" w:hAnsi="仿宋" w:eastAsia="仿宋_GB2312" w:cs="宋体"/>
          <w:kern w:val="0"/>
          <w:sz w:val="32"/>
          <w:szCs w:val="32"/>
        </w:rPr>
        <w:t>日前向省评协申请内部培训资格：</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(一)至少拥有30名执业会员；</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(二)年评估业务收入至少1000万元；</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(三)具有健全的内部培训制度和科学</w:t>
      </w:r>
      <w:r>
        <w:rPr>
          <w:rFonts w:hint="eastAsia" w:ascii="仿宋_GB2312" w:hAnsi="仿宋" w:eastAsia="仿宋_GB2312" w:cs="宋体"/>
          <w:kern w:val="0"/>
          <w:sz w:val="32"/>
          <w:szCs w:val="32"/>
          <w:lang w:eastAsia="zh-CN"/>
        </w:rPr>
        <w:t>合理</w:t>
      </w:r>
      <w:r>
        <w:rPr>
          <w:rFonts w:hint="eastAsia" w:ascii="仿宋_GB2312" w:hAnsi="仿宋" w:eastAsia="仿宋_GB2312" w:cs="宋体"/>
          <w:kern w:val="0"/>
          <w:sz w:val="32"/>
          <w:szCs w:val="32"/>
        </w:rPr>
        <w:t>的培训计划；</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(四)能够提供承担培训任务的师资、场地和设施；</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 省评协要求的其他条件。</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第十三条</w:t>
      </w:r>
      <w:r>
        <w:rPr>
          <w:rFonts w:hint="eastAsia" w:ascii="仿宋_GB2312" w:hAnsi="仿宋" w:eastAsia="仿宋_GB2312" w:cs="宋体"/>
          <w:kern w:val="0"/>
          <w:sz w:val="32"/>
          <w:szCs w:val="32"/>
        </w:rPr>
        <w:t xml:space="preserve"> 省评协、资产评估机构应当聘请理论水平高、实践经验丰富、职业道德和社会声誉良好的专家学者，承担执业会员继续教育，</w:t>
      </w:r>
      <w:r>
        <w:rPr>
          <w:rFonts w:hint="eastAsia" w:ascii="仿宋_GB2312" w:hAnsi="仿宋" w:eastAsia="仿宋_GB2312" w:cs="宋体"/>
          <w:kern w:val="0"/>
          <w:sz w:val="32"/>
          <w:szCs w:val="32"/>
          <w:lang w:eastAsia="zh-CN"/>
        </w:rPr>
        <w:t>加强</w:t>
      </w:r>
      <w:r>
        <w:rPr>
          <w:rFonts w:hint="eastAsia" w:ascii="仿宋_GB2312" w:hAnsi="仿宋" w:eastAsia="仿宋_GB2312" w:cs="宋体"/>
          <w:kern w:val="0"/>
          <w:sz w:val="32"/>
          <w:szCs w:val="32"/>
        </w:rPr>
        <w:t>执业会员继续教育师资队伍。</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第三章 继续教育的内容、形式及学时</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第十四条</w:t>
      </w:r>
      <w:r>
        <w:rPr>
          <w:rFonts w:hint="eastAsia" w:ascii="仿宋_GB2312" w:hAnsi="仿宋" w:eastAsia="仿宋_GB2312" w:cs="宋体"/>
          <w:kern w:val="0"/>
          <w:sz w:val="32"/>
          <w:szCs w:val="32"/>
        </w:rPr>
        <w:t xml:space="preserve"> 执业会员继续教育的主要内容包括:执业会员为市场主体的各类资产价值及相关事项，提供测算、鉴证、评价、调查和管理咨询等各种服务应当掌握的理论、技术和方法等专业知识，以及相关的法律法规政策、职业规范等。</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第十五条</w:t>
      </w:r>
      <w:r>
        <w:rPr>
          <w:rFonts w:hint="eastAsia" w:ascii="仿宋_GB2312" w:hAnsi="仿宋" w:eastAsia="仿宋_GB2312" w:cs="宋体"/>
          <w:kern w:val="0"/>
          <w:sz w:val="32"/>
          <w:szCs w:val="32"/>
        </w:rPr>
        <w:t xml:space="preserve"> 执业会员参加继续教育的主要形式包括：</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(一)中评协或省评协举办的培训班、研修班、专业论坛、学术会议、学术访问或专题讲座等；</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(二)中评协或省评协提供的远程教育；</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(三)中评协或省评协委托相关教育培训机构提供的网络在线培训；</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(四)经省评协认可的资产评估机构内部培训；</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(五)中评协或省评协认可的其他形式。</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第十六条</w:t>
      </w:r>
      <w:r>
        <w:rPr>
          <w:rFonts w:hint="eastAsia" w:ascii="仿宋_GB2312" w:hAnsi="仿宋" w:eastAsia="仿宋_GB2312" w:cs="宋体"/>
          <w:kern w:val="0"/>
          <w:sz w:val="32"/>
          <w:szCs w:val="32"/>
        </w:rPr>
        <w:t xml:space="preserve"> 下列情形视为执业会员接受继续教育：</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(一)担任中评协或省评协举办或委托举办的继续教育培训班或研修班授课人、专业论坛或专题讲座演讲人；</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(二)参加中评协或省评协组织的行业执业质量检查、专案调查、专家论证及执业责任鉴定；</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(三)参加资产评估执业标准制定；</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(四)参加资产评估师考试辅导教材或继续教育培训教材编写；</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(五)承担中评协或省评协认可的课题研究，并取得研究成果；</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(六)公开出版或发表评估专业著作或专业论文；</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(七)参加中评协或省评协认可的国内外评估机构的培训；</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(八)参加在职资产评估专业学位教育；</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(九)经中评协或省评协认可的其他</w:t>
      </w:r>
      <w:r>
        <w:rPr>
          <w:rFonts w:hint="eastAsia" w:ascii="仿宋_GB2312" w:hAnsi="仿宋" w:eastAsia="仿宋_GB2312" w:cs="宋体"/>
          <w:kern w:val="0"/>
          <w:sz w:val="32"/>
          <w:szCs w:val="32"/>
          <w:lang w:eastAsia="zh-CN"/>
        </w:rPr>
        <w:t>形</w:t>
      </w:r>
      <w:r>
        <w:rPr>
          <w:rFonts w:hint="eastAsia" w:ascii="仿宋_GB2312" w:hAnsi="仿宋" w:eastAsia="仿宋_GB2312" w:cs="宋体"/>
          <w:kern w:val="0"/>
          <w:sz w:val="32"/>
          <w:szCs w:val="32"/>
        </w:rPr>
        <w:t>式。</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第十七条</w:t>
      </w:r>
      <w:r>
        <w:rPr>
          <w:rFonts w:hint="eastAsia" w:ascii="仿宋_GB2312" w:hAnsi="仿宋" w:eastAsia="仿宋_GB2312" w:cs="宋体"/>
          <w:kern w:val="0"/>
          <w:sz w:val="32"/>
          <w:szCs w:val="32"/>
        </w:rPr>
        <w:t xml:space="preserve"> 执业会员每年接受继续教育的时间累计不得少于60个学时。续教育学时仅在当年有效。</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第十八条</w:t>
      </w:r>
      <w:r>
        <w:rPr>
          <w:rFonts w:hint="eastAsia" w:ascii="仿宋_GB2312" w:hAnsi="仿宋" w:eastAsia="仿宋_GB2312" w:cs="宋体"/>
          <w:kern w:val="0"/>
          <w:sz w:val="32"/>
          <w:szCs w:val="32"/>
        </w:rPr>
        <w:t xml:space="preserve"> 执业会员参加第十五条所列形式的继续教育，至少45分钟为一个学时，按照实际参加时间确认学时。</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第十九条</w:t>
      </w:r>
      <w:r>
        <w:rPr>
          <w:rFonts w:hint="eastAsia" w:ascii="仿宋_GB2312" w:hAnsi="仿宋" w:eastAsia="仿宋_GB2312" w:cs="宋体"/>
          <w:kern w:val="0"/>
          <w:sz w:val="32"/>
          <w:szCs w:val="32"/>
        </w:rPr>
        <w:t xml:space="preserve"> 执业会员参加第十六条所列形式的继续教育，按下列标准确认学时：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(一)担任执业会员继续教育培训班或研修班授课人、专业论坛或专题讲座演讲人，按照实际授课、演讲时间的4倍确认学时；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(二)参加行业执业质量检查、专案调查、专家论证及执业责任鉴定每天确认4个学时，每年最多可确认40个学时；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(三)参加资产评估执业标准制定，项目组长每个项目确认30个学时，项目组成员每个项目确认20个学时；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(四)参加资产评估师考试辅导教材或继续教育培训教材编写，每万字确认5个学时；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(五)承担研究课题并取得研究成果，每个项目确认20个学时； </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(六)公开出版评估专业著作，独著每个项目确认40个学时，合著第一作者每个项目确认30个学时，其他作者每个项目确认20个学时；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(七)在省级以上(含省级)经济类报刊上发表评估专业文章，第一作者每篇确认15个学时，其他作者每个项目确认10个学时；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(八)参加中评协或省评协认可的国内外评估机构的培训，按照实际参加时间确认；</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(九)参加在职资产评估专业学位教育，当年可确认30个学时。</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第二十条</w:t>
      </w:r>
      <w:r>
        <w:rPr>
          <w:rFonts w:hint="eastAsia" w:ascii="仿宋_GB2312" w:hAnsi="仿宋" w:eastAsia="仿宋_GB2312" w:cs="宋体"/>
          <w:kern w:val="0"/>
          <w:sz w:val="32"/>
          <w:szCs w:val="32"/>
        </w:rPr>
        <w:t xml:space="preserve"> 执业会员参加中评协或省评协举办的培训班、研修班、专业论坛、学术会议、学术访问或专题讲座，继续教育学时由举办方确认。</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执业会员参加第十六条所列形式的继续教育，应当填写继续教育学时确认申请表（附表），连同有关证明材料一并提交省评协确认。</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执业会员参加资产评估机构举办的内部培训，由省评协对该资产评估机构内部培训考核验收后，确认其继续教育学时。</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本会分支机构执业会员接受总</w:t>
      </w:r>
      <w:r>
        <w:rPr>
          <w:rFonts w:hint="eastAsia" w:ascii="仿宋_GB2312" w:hAnsi="仿宋" w:eastAsia="仿宋_GB2312" w:cs="宋体"/>
          <w:kern w:val="0"/>
          <w:sz w:val="32"/>
          <w:szCs w:val="32"/>
          <w:lang w:eastAsia="zh-CN"/>
        </w:rPr>
        <w:t>部</w:t>
      </w:r>
      <w:r>
        <w:rPr>
          <w:rFonts w:hint="eastAsia" w:ascii="仿宋_GB2312" w:hAnsi="仿宋" w:eastAsia="仿宋_GB2312" w:cs="宋体"/>
          <w:kern w:val="0"/>
          <w:sz w:val="32"/>
          <w:szCs w:val="32"/>
        </w:rPr>
        <w:t>内部培训并申请确认学时的，由所在地省评协</w:t>
      </w:r>
      <w:r>
        <w:rPr>
          <w:rFonts w:hint="eastAsia" w:ascii="仿宋_GB2312" w:hAnsi="仿宋" w:eastAsia="仿宋_GB2312" w:cs="宋体"/>
          <w:kern w:val="0"/>
          <w:sz w:val="32"/>
          <w:szCs w:val="32"/>
          <w:lang w:eastAsia="zh-CN"/>
        </w:rPr>
        <w:t>出</w:t>
      </w:r>
      <w:r>
        <w:rPr>
          <w:rFonts w:hint="eastAsia" w:ascii="仿宋_GB2312" w:hAnsi="仿宋" w:eastAsia="仿宋_GB2312" w:cs="宋体"/>
          <w:kern w:val="0"/>
          <w:sz w:val="32"/>
          <w:szCs w:val="32"/>
        </w:rPr>
        <w:t>具培训证明，省评协确认并记录其继续教育学时。</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第二十一条</w:t>
      </w:r>
      <w:r>
        <w:rPr>
          <w:rFonts w:hint="eastAsia" w:ascii="仿宋_GB2312" w:hAnsi="仿宋" w:eastAsia="仿宋_GB2312" w:cs="宋体"/>
          <w:kern w:val="0"/>
          <w:sz w:val="32"/>
          <w:szCs w:val="32"/>
        </w:rPr>
        <w:t xml:space="preserve"> 执业会员有下列情形之一的，由本人提供合理证明，经省评协审核确认后，其继续教育学时可以顺延至下一年度完成，但不得影响下一年度继续教育学时的完成。</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(一)在境外停留半年以上（含半年）的；</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(二)生育休产假的；</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(三)因疾病连续半年以上（含半年）无法正常工作的；</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(四)省评协认可的其他情形。</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第二十二条</w:t>
      </w:r>
      <w:r>
        <w:rPr>
          <w:rFonts w:hint="eastAsia" w:ascii="仿宋_GB2312" w:hAnsi="仿宋" w:eastAsia="仿宋_GB2312" w:cs="宋体"/>
          <w:kern w:val="0"/>
          <w:sz w:val="32"/>
          <w:szCs w:val="32"/>
        </w:rPr>
        <w:t xml:space="preserve"> 本办法中未明确的其他形式的继续教育学时，由中评协或省评协认定。由省评协认定的，</w:t>
      </w:r>
      <w:r>
        <w:rPr>
          <w:rFonts w:hint="eastAsia" w:ascii="仿宋_GB2312" w:hAnsi="仿宋" w:eastAsia="仿宋_GB2312" w:cs="宋体"/>
          <w:kern w:val="0"/>
          <w:sz w:val="32"/>
          <w:szCs w:val="32"/>
          <w:lang w:eastAsia="zh-CN"/>
        </w:rPr>
        <w:t>应当将</w:t>
      </w:r>
      <w:r>
        <w:rPr>
          <w:rFonts w:hint="eastAsia" w:ascii="仿宋_GB2312" w:hAnsi="仿宋" w:eastAsia="仿宋_GB2312" w:cs="宋体"/>
          <w:kern w:val="0"/>
          <w:sz w:val="32"/>
          <w:szCs w:val="32"/>
        </w:rPr>
        <w:t>参加继续教育的形式及学时确认情况报中评协备案。</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第四章 继续教育的考核</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第二十三条</w:t>
      </w:r>
      <w:r>
        <w:rPr>
          <w:rFonts w:hint="eastAsia" w:ascii="仿宋_GB2312" w:hAnsi="仿宋" w:eastAsia="仿宋_GB2312" w:cs="宋体"/>
          <w:kern w:val="0"/>
          <w:sz w:val="32"/>
          <w:szCs w:val="32"/>
        </w:rPr>
        <w:t xml:space="preserve"> 省评协负责确认和登记执业会员继续教育学时，对执业会员继续教育实行考核、考试制度。执业会员在学习期间违反继续教育培训纪律和管理制度的，可视情节予以批评教育；考核、考试不合格者,不计算继续教育学时，同时将培训结果通报所在资产评估机构。</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第二十四条</w:t>
      </w:r>
      <w:r>
        <w:rPr>
          <w:rFonts w:hint="eastAsia" w:ascii="仿宋_GB2312" w:hAnsi="仿宋" w:eastAsia="仿宋_GB2312" w:cs="宋体"/>
          <w:kern w:val="0"/>
          <w:sz w:val="32"/>
          <w:szCs w:val="32"/>
        </w:rPr>
        <w:t xml:space="preserve"> 执业会员有下列行为之一的，由省评协取消相应的继续教育学时，并予以行业内通报批评： </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(一)提供虚假证明材料骗取继续教育学时的；</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(二)由他人代替参加继续教育培训的；</w:t>
      </w:r>
    </w:p>
    <w:p>
      <w:pPr>
        <w:adjustRightInd w:val="0"/>
        <w:snapToGrid w:val="0"/>
        <w:spacing w:line="62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(三)严重违反继续教育培训纪律和管理制度的。</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第二十五条</w:t>
      </w:r>
      <w:r>
        <w:rPr>
          <w:rFonts w:hint="eastAsia" w:ascii="仿宋_GB2312" w:hAnsi="仿宋" w:eastAsia="仿宋_GB2312" w:cs="宋体"/>
          <w:kern w:val="0"/>
          <w:sz w:val="32"/>
          <w:szCs w:val="32"/>
        </w:rPr>
        <w:t xml:space="preserve"> 对于未完成当年继续教育学时，且不符合本办法第二十一条规定情形的执业会员，由省评协限期进行强制培训，对于拒不接受强制培训或强制培训不合格的执业会员，不予通过年检。</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第二十六条</w:t>
      </w:r>
      <w:r>
        <w:rPr>
          <w:rFonts w:hint="eastAsia" w:ascii="仿宋_GB2312" w:hAnsi="仿宋" w:eastAsia="仿宋_GB2312" w:cs="宋体"/>
          <w:kern w:val="0"/>
          <w:sz w:val="32"/>
          <w:szCs w:val="32"/>
        </w:rPr>
        <w:t xml:space="preserve"> 当年度入会的执业会员自愿参加本年度继续教育培训。</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第二十七条</w:t>
      </w:r>
      <w:r>
        <w:rPr>
          <w:rFonts w:hint="eastAsia" w:ascii="仿宋_GB2312" w:hAnsi="仿宋" w:eastAsia="仿宋_GB2312" w:cs="宋体"/>
          <w:kern w:val="0"/>
          <w:sz w:val="32"/>
          <w:szCs w:val="32"/>
        </w:rPr>
        <w:t xml:space="preserve"> 省评协应当加强对资产评估机构内部培训工作的监督、检查，对不能持续具备内部培训资格条件或不能保证培训质量的资产评估机构，应当取消其内部培训资格。</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第五章 附  则</w:t>
      </w:r>
    </w:p>
    <w:p>
      <w:pPr>
        <w:adjustRightInd w:val="0"/>
        <w:snapToGrid w:val="0"/>
        <w:spacing w:line="62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第二十八条</w:t>
      </w:r>
      <w:r>
        <w:rPr>
          <w:rFonts w:hint="eastAsia" w:ascii="仿宋_GB2312" w:hAnsi="仿宋" w:eastAsia="仿宋_GB2312" w:cs="宋体"/>
          <w:kern w:val="0"/>
          <w:sz w:val="32"/>
          <w:szCs w:val="32"/>
        </w:rPr>
        <w:t xml:space="preserve">  本办法由省评协</w:t>
      </w:r>
      <w:r>
        <w:rPr>
          <w:rFonts w:hint="eastAsia" w:ascii="仿宋_GB2312" w:hAnsi="仿宋" w:eastAsia="仿宋_GB2312" w:cs="宋体"/>
          <w:kern w:val="0"/>
          <w:sz w:val="32"/>
          <w:szCs w:val="32"/>
          <w:lang w:eastAsia="zh-CN"/>
        </w:rPr>
        <w:t>秘书处</w:t>
      </w:r>
      <w:r>
        <w:rPr>
          <w:rFonts w:hint="eastAsia" w:ascii="仿宋_GB2312" w:hAnsi="仿宋" w:eastAsia="仿宋_GB2312" w:cs="宋体"/>
          <w:kern w:val="0"/>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宋体"/>
          <w:kern w:val="0"/>
          <w:sz w:val="32"/>
          <w:szCs w:val="32"/>
        </w:rPr>
        <w:sectPr>
          <w:footerReference r:id="rId3" w:type="default"/>
          <w:pgSz w:w="11906" w:h="16838"/>
          <w:pgMar w:top="2098" w:right="1474" w:bottom="1984" w:left="1587" w:header="850" w:footer="1417" w:gutter="0"/>
          <w:pgNumType w:fmt="decimal"/>
          <w:cols w:space="720" w:num="1"/>
          <w:docGrid w:type="lines" w:linePitch="312" w:charSpace="0"/>
        </w:sectPr>
      </w:pPr>
      <w:r>
        <w:rPr>
          <w:rFonts w:hint="eastAsia" w:ascii="仿宋_GB2312" w:hAnsi="仿宋" w:eastAsia="仿宋_GB2312" w:cs="宋体"/>
          <w:b/>
          <w:bCs/>
          <w:kern w:val="0"/>
          <w:sz w:val="32"/>
          <w:szCs w:val="32"/>
        </w:rPr>
        <w:t>第二十九条</w:t>
      </w:r>
      <w:r>
        <w:rPr>
          <w:rFonts w:hint="eastAsia" w:ascii="仿宋_GB2312" w:hAnsi="仿宋" w:eastAsia="仿宋_GB2312" w:cs="宋体"/>
          <w:kern w:val="0"/>
          <w:sz w:val="32"/>
          <w:szCs w:val="32"/>
        </w:rPr>
        <w:t xml:space="preserve">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国标黑体">
    <w:altName w:val="黑体"/>
    <w:panose1 w:val="020005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国标宋体">
    <w:altName w:val="宋体"/>
    <w:panose1 w:val="02000500000000000000"/>
    <w:charset w:val="86"/>
    <w:family w:val="auto"/>
    <w:pitch w:val="default"/>
    <w:sig w:usb0="00000000" w:usb1="00000000" w:usb2="00000000"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国标宋体" w:hAnsi="国标宋体" w:eastAsia="国标宋体" w:cs="国标宋体"/>
                              <w:sz w:val="28"/>
                              <w:szCs w:val="28"/>
                            </w:rPr>
                          </w:pPr>
                          <w:r>
                            <w:rPr>
                              <w:rFonts w:hint="eastAsia" w:ascii="国标宋体" w:hAnsi="国标宋体" w:eastAsia="国标宋体" w:cs="国标宋体"/>
                              <w:sz w:val="28"/>
                              <w:szCs w:val="28"/>
                            </w:rPr>
                            <w:t xml:space="preserve">— </w:t>
                          </w: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13</w:t>
                          </w:r>
                          <w:r>
                            <w:rPr>
                              <w:rFonts w:hint="eastAsia" w:ascii="国标宋体" w:hAnsi="国标宋体" w:eastAsia="国标宋体" w:cs="国标宋体"/>
                              <w:sz w:val="28"/>
                              <w:szCs w:val="28"/>
                            </w:rPr>
                            <w:fldChar w:fldCharType="end"/>
                          </w:r>
                          <w:r>
                            <w:rPr>
                              <w:rFonts w:hint="eastAsia" w:ascii="国标宋体" w:hAnsi="国标宋体" w:eastAsia="国标宋体" w:cs="国标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国标宋体" w:hAnsi="国标宋体" w:eastAsia="国标宋体" w:cs="国标宋体"/>
                        <w:sz w:val="28"/>
                        <w:szCs w:val="28"/>
                      </w:rPr>
                    </w:pPr>
                    <w:r>
                      <w:rPr>
                        <w:rFonts w:hint="eastAsia" w:ascii="国标宋体" w:hAnsi="国标宋体" w:eastAsia="国标宋体" w:cs="国标宋体"/>
                        <w:sz w:val="28"/>
                        <w:szCs w:val="28"/>
                      </w:rPr>
                      <w:t xml:space="preserve">— </w:t>
                    </w: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13</w:t>
                    </w:r>
                    <w:r>
                      <w:rPr>
                        <w:rFonts w:hint="eastAsia" w:ascii="国标宋体" w:hAnsi="国标宋体" w:eastAsia="国标宋体" w:cs="国标宋体"/>
                        <w:sz w:val="28"/>
                        <w:szCs w:val="28"/>
                      </w:rPr>
                      <w:fldChar w:fldCharType="end"/>
                    </w:r>
                    <w:r>
                      <w:rPr>
                        <w:rFonts w:hint="eastAsia" w:ascii="国标宋体" w:hAnsi="国标宋体" w:eastAsia="国标宋体" w:cs="国标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WFkYjNhZGE2NWQzNTVkNjg2Y2UzNjcxMDc3ZmUifQ=="/>
  </w:docVars>
  <w:rsids>
    <w:rsidRoot w:val="6BB824FD"/>
    <w:rsid w:val="6BB82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Subtitle"/>
    <w:basedOn w:val="1"/>
    <w:next w:val="1"/>
    <w:qFormat/>
    <w:uiPriority w:val="0"/>
    <w:pPr>
      <w:widowControl/>
      <w:spacing w:before="240" w:after="60" w:line="312" w:lineRule="auto"/>
      <w:jc w:val="center"/>
      <w:outlineLvl w:val="1"/>
    </w:pPr>
    <w:rPr>
      <w:rFonts w:ascii="Cambria" w:hAnsi="Cambria" w:eastAsia="宋体" w:cs="Times New Roman"/>
      <w:b/>
      <w:bCs/>
      <w:kern w:val="28"/>
      <w:sz w:val="32"/>
      <w:szCs w:val="32"/>
    </w:rPr>
  </w:style>
  <w:style w:type="paragraph" w:customStyle="1" w:styleId="6">
    <w:name w:val="样式1"/>
    <w:basedOn w:val="1"/>
    <w:qFormat/>
    <w:uiPriority w:val="0"/>
    <w:pPr>
      <w:spacing w:line="600" w:lineRule="exact"/>
    </w:pPr>
    <w:rPr>
      <w:rFonts w:ascii="Calibri" w:hAnsi="Calibri" w:eastAsia="仿宋"/>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2024-03-25T07:12:00Z</dcterms:created>
  <dc:creator>杨建丽</dc:creator>
  <cp:lastModifiedBy>杨建丽</cp:lastModifiedBy>
  <dcterms:modified xsi:type="dcterms:W3CDTF">2024-03-25T07:12:28Z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A31E9428A877433B9EC0D2D0080FF32A_11</vt:lpwstr>
  </property>
</Properties>
</file>