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7EFD6" w14:textId="77777777" w:rsidR="00560690" w:rsidRDefault="00000000">
      <w:pPr>
        <w:spacing w:line="540" w:lineRule="exact"/>
        <w:rPr>
          <w:rFonts w:ascii="Times New Roman" w:eastAsia="仿宋_GB2312" w:hAnsi="Times New Roman" w:cs="黑体"/>
          <w:bCs/>
          <w:sz w:val="30"/>
          <w:szCs w:val="30"/>
        </w:rPr>
      </w:pPr>
      <w:bookmarkStart w:id="0" w:name="_Hlk162526704"/>
      <w:r>
        <w:rPr>
          <w:rFonts w:ascii="Times New Roman" w:eastAsia="仿宋_GB2312" w:hAnsi="Times New Roman" w:cs="黑体" w:hint="eastAsia"/>
          <w:bCs/>
          <w:sz w:val="30"/>
          <w:szCs w:val="30"/>
        </w:rPr>
        <w:t>附件</w:t>
      </w:r>
      <w:r>
        <w:rPr>
          <w:rFonts w:ascii="Times New Roman" w:eastAsia="仿宋_GB2312" w:hAnsi="Times New Roman" w:cs="黑体" w:hint="eastAsia"/>
          <w:bCs/>
          <w:sz w:val="30"/>
          <w:szCs w:val="30"/>
        </w:rPr>
        <w:t>12</w:t>
      </w:r>
    </w:p>
    <w:bookmarkEnd w:id="0"/>
    <w:p w14:paraId="4EB8CF37" w14:textId="77777777" w:rsidR="00560690" w:rsidRDefault="00560690">
      <w:pPr>
        <w:spacing w:line="560" w:lineRule="exact"/>
        <w:jc w:val="center"/>
        <w:rPr>
          <w:rFonts w:ascii="黑体" w:eastAsia="黑体" w:hAnsi="黑体"/>
          <w:b/>
          <w:kern w:val="0"/>
          <w:sz w:val="44"/>
          <w:szCs w:val="44"/>
        </w:rPr>
      </w:pPr>
    </w:p>
    <w:p w14:paraId="22F24F2B" w14:textId="77777777" w:rsidR="00560690" w:rsidRDefault="00000000">
      <w:pPr>
        <w:spacing w:line="560" w:lineRule="exact"/>
        <w:jc w:val="center"/>
        <w:rPr>
          <w:rFonts w:ascii="黑体" w:eastAsia="黑体" w:hAnsi="黑体"/>
          <w:b/>
          <w:kern w:val="0"/>
          <w:sz w:val="44"/>
          <w:szCs w:val="44"/>
        </w:rPr>
      </w:pPr>
      <w:r>
        <w:rPr>
          <w:rFonts w:ascii="黑体" w:eastAsia="黑体" w:hAnsi="黑体" w:hint="eastAsia"/>
          <w:b/>
          <w:kern w:val="0"/>
          <w:sz w:val="44"/>
          <w:szCs w:val="44"/>
        </w:rPr>
        <w:t>《上海证券交易所上市公司自律监管指引第15号——股东及董事、监事、高级管理人员减持股份（征求意见稿）》</w:t>
      </w:r>
    </w:p>
    <w:p w14:paraId="44D3E476" w14:textId="77777777" w:rsidR="00560690" w:rsidRDefault="00000000">
      <w:pPr>
        <w:spacing w:line="560" w:lineRule="exact"/>
        <w:jc w:val="center"/>
        <w:rPr>
          <w:rFonts w:ascii="黑体" w:eastAsia="黑体" w:hAnsi="黑体"/>
          <w:b/>
          <w:kern w:val="0"/>
          <w:sz w:val="44"/>
          <w:szCs w:val="44"/>
        </w:rPr>
      </w:pPr>
      <w:r>
        <w:rPr>
          <w:rFonts w:ascii="黑体" w:eastAsia="黑体" w:hAnsi="黑体" w:hint="eastAsia"/>
          <w:b/>
          <w:kern w:val="0"/>
          <w:sz w:val="44"/>
          <w:szCs w:val="44"/>
        </w:rPr>
        <w:t>起草说明</w:t>
      </w:r>
    </w:p>
    <w:p w14:paraId="0FF0536B" w14:textId="77777777" w:rsidR="00560690" w:rsidRDefault="00560690">
      <w:pPr>
        <w:spacing w:line="560" w:lineRule="exact"/>
        <w:ind w:firstLineChars="200" w:firstLine="880"/>
        <w:jc w:val="center"/>
        <w:rPr>
          <w:rStyle w:val="ab"/>
          <w:rFonts w:ascii="黑体" w:eastAsia="黑体" w:hAnsi="黑体" w:cs="黑体"/>
          <w:b w:val="0"/>
          <w:sz w:val="44"/>
          <w:szCs w:val="44"/>
        </w:rPr>
      </w:pPr>
    </w:p>
    <w:p w14:paraId="11BCED77" w14:textId="77777777" w:rsidR="00560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贯彻落实中央金融工作会议精神和《国务院关于加强监管防范风险推动资本市场高质量发展的若干意见》，落实《上市公司股东减持股份管理办法》（以下简称《管理办法》）、《上市公司董事、监事和高级管理人员所持本公司股份及其变动管理规则》的要求，本所对《上海证券交易所上市公司股东及董事、监事、高级管理人员减持股份实施细则》（以下简称《实施细则》）进行了修订，整合了相关监管问答、业务通知等配套规定，形成《上海证券交易所上市公司自律监管指引第15号——股东及董事、监事、高级管理人员减持股份》（以下简称《指引》）。主要内容如下。</w:t>
      </w:r>
    </w:p>
    <w:p w14:paraId="17EEAD8C" w14:textId="77777777" w:rsidR="00560690" w:rsidRDefault="00000000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一、修订背景</w:t>
      </w:r>
    </w:p>
    <w:p w14:paraId="3A8499FE" w14:textId="77777777" w:rsidR="00560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2017年5月27日，中国证监会修订发布《上市公司股东、董监高减持股份的若干规定》，本所同步发布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《实施细则》</w:t>
      </w:r>
      <w:r>
        <w:rPr>
          <w:rFonts w:ascii="仿宋_GB2312" w:eastAsia="仿宋_GB2312" w:hAnsi="仿宋_GB2312" w:cs="仿宋_GB2312" w:hint="eastAsia"/>
          <w:sz w:val="32"/>
          <w:szCs w:val="32"/>
        </w:rPr>
        <w:t>及其问答，确立了减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持制度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的基本框架内容。近年来，为适应市场形势发展，本所根据实践需要陆续出台多项配套规定，包括《实施细则问题解答（一）》《实施细则问题解答（二）》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《关于进一步规范股份减持行为有关事项的通知》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等。</w:t>
      </w:r>
    </w:p>
    <w:p w14:paraId="0C147FB7" w14:textId="77777777" w:rsidR="00560690" w:rsidRDefault="00000000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近日，中国证监会发布《关于加强上市公司监管的意见（试行）》（以下简称《意见》），明确提出将减持规定的法律位阶提升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规章，并构建以减持管理办法为核心、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董监高与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投基金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减持特别规定为补充的“1+2”规则体系。根据中国证监会统筹部署，自律监管规则须同步予以整合完善。本次修订即以《实施细则》为核心，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整合前期监管问答、业务通知，推动形成更加简明清晰的规则体系，确保交易所自律监管工作能够规范高效地</w:t>
      </w:r>
      <w:r>
        <w:rPr>
          <w:rFonts w:ascii="仿宋_GB2312" w:eastAsia="仿宋_GB2312" w:hAnsi="仿宋_GB2312" w:cs="仿宋_GB2312" w:hint="eastAsia"/>
          <w:sz w:val="32"/>
          <w:szCs w:val="32"/>
        </w:rPr>
        <w:t>贯彻落实《意见》《管理办法》精神，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引导规范、理性、有序减持，切实</w:t>
      </w:r>
      <w:r>
        <w:rPr>
          <w:rFonts w:ascii="仿宋_GB2312" w:eastAsia="仿宋_GB2312" w:hAnsi="仿宋_GB2312" w:cs="仿宋_GB2312" w:hint="eastAsia"/>
          <w:sz w:val="32"/>
          <w:szCs w:val="32"/>
        </w:rPr>
        <w:t>防范规避减持行为，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维护市场信心。</w:t>
      </w:r>
    </w:p>
    <w:p w14:paraId="09744C2D" w14:textId="77777777" w:rsidR="00560690" w:rsidRDefault="00000000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二、主要修订内容</w:t>
      </w:r>
    </w:p>
    <w:p w14:paraId="4D9B12C5" w14:textId="77777777" w:rsidR="0056069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（一）严格规范大股东、董监高等主体的减持行为</w:t>
      </w:r>
    </w:p>
    <w:p w14:paraId="512BE0CA" w14:textId="77777777" w:rsidR="0056069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一是从严做好大股东减持管理。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严格大股东身份管理，包括明确大股东认定应当将股东证券账户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与其通过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转融通出借但尚未归还或通过约定购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回式证券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交易卖出但尚未购回的该公司股份数量合并计算；明确大股东的一致行动人以及单个股东持股比例不到5%，但与其一致行动人合计持股比例达到5%以上的，应遵守大股东减持的规定；对于持股5%以上的股东持股比例降至5%以下之日起的90日内，沿用原监管问答的要求，规定仍需遵守大股东二级市场减持的相关规定等。同时，明确大股东涉及与该上市公司有关的违法违规情形的，在相应期限内不得减持。</w:t>
      </w:r>
    </w:p>
    <w:p w14:paraId="1B5B7B54" w14:textId="77777777" w:rsidR="0056069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二是进一步明确控股股东、实际控制人减持要求。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整合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2023年9月26日发布的业务通知要求，强调</w:t>
      </w:r>
      <w:r>
        <w:rPr>
          <w:rFonts w:ascii="仿宋_GB2312" w:eastAsia="仿宋_GB2312" w:hAnsi="仿宋_GB2312" w:cs="仿宋_GB2312" w:hint="eastAsia"/>
          <w:sz w:val="32"/>
          <w:szCs w:val="32"/>
        </w:rPr>
        <w:t>上市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公司存在破发、破净、分红不达标情形的，控股股东、实际控制人及其一致行动人不得披露减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持计划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并实施二级市场减持行为。明确上市公司涉及违法违规情形的，控股股东、实际控制人及其一致行动人在相应期限内不得减持。</w:t>
      </w:r>
    </w:p>
    <w:p w14:paraId="1F97061B" w14:textId="77777777" w:rsidR="0056069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三是整合强化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董监高减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持规范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。整合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董监高持股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变动相关规定中涉及减持的规范要求，包括明确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董监高及其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一致行动人不得减持的情形，进一步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明确减持比例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的具体适用标准等。</w:t>
      </w:r>
    </w:p>
    <w:p w14:paraId="7FD2034F" w14:textId="77777777" w:rsidR="0056069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（二）强化减持的信息披露监管要求</w:t>
      </w:r>
    </w:p>
    <w:p w14:paraId="36D5F52C" w14:textId="77777777" w:rsidR="0056069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一是严格落实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减持预披露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要求。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落实《管理办法》要求，在现行集中竞价交易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减持预披露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的基础上，进一步明确大股东、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董监高通过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大宗交易减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持股份需提前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15个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交易日预披露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的要求。</w:t>
      </w:r>
    </w:p>
    <w:p w14:paraId="492B5C0C" w14:textId="77777777" w:rsidR="0056069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二是落实减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持计划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内容规范要求。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将减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持计划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的时间区间由最多6个月调整为最多3个月，进一步明确市场预期。要求大股东、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董监高在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持计划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中明确说明是否存在《指引》规定的不得披露减持计划、不得实施减持的情形。</w:t>
      </w:r>
    </w:p>
    <w:p w14:paraId="1F7701A4" w14:textId="77777777" w:rsidR="0056069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（三）切实防范绕道减持</w:t>
      </w:r>
    </w:p>
    <w:p w14:paraId="3386BCC8" w14:textId="77777777" w:rsidR="0056069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一是防范利用“身份”绕道。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按照实质重于形式的原则，进一步明确大股东、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董监高在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离婚、解散分立等情形下的减持规则，要求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股份过出方、过入方应当在股份过户前按规定及时披露相关事项，并在股份过户后按规定持续共同遵守大股东、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董监高减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持的相关规定，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防范通过“技术性”离婚绕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道违规减持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对于合计持股比例达到5%以上的股东及其一致行动人之间、大股东及其一致行动人之间解除一致行动关系的，解除后的6个月内应当共同遵守大股东减持的相关规定。</w:t>
      </w:r>
    </w:p>
    <w:p w14:paraId="53051414" w14:textId="77777777" w:rsidR="0056069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二是防范利用“交易”绕道。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落实《管理办法》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要求，明确大股东或特定股东通过协议转让方式减持股份后的6个月内，受让方不得减持其所受让的股份，不再具有大股东身份的出让方还应当继续遵守</w:t>
      </w:r>
      <w:r>
        <w:rPr>
          <w:rFonts w:ascii="仿宋_GB2312" w:eastAsia="仿宋_GB2312" w:hAnsi="仿宋_GB2312" w:cs="仿宋_GB2312" w:hint="eastAsia"/>
          <w:sz w:val="32"/>
          <w:szCs w:val="32"/>
        </w:rPr>
        <w:t>《指引》关于大股东减持的相关规定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。进一步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明确因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司法强制执行、股权质押、融资融券、约定购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回式证券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交易违约处置</w:t>
      </w:r>
      <w:r>
        <w:rPr>
          <w:rFonts w:ascii="仿宋_GB2312" w:eastAsia="仿宋_GB2312" w:hAnsi="仿宋_GB2312" w:cs="仿宋_GB2312" w:hint="eastAsia"/>
          <w:sz w:val="32"/>
          <w:szCs w:val="32"/>
        </w:rPr>
        <w:t>等导致股份减持的，应当根据不同的减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持方式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分别适用相关规定，并规定大股东、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董监高被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人民法院通过二级市场强制执行的，在收到相关执行通知后2个交易日内披露。进一步明确按照规定赠与导致减持股份的，参照适用《指引》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关于协议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转让方式减持股份的相关规定。</w:t>
      </w:r>
    </w:p>
    <w:p w14:paraId="04E031CA" w14:textId="77777777" w:rsidR="0056069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三是防范利用“工具”绕道。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明确大股东、董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监高不得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融券卖出本公司股份，禁止大股东、董监高参与以本公司股票为标的物的衍生品交易，禁止股东持有股份在限制转让期内转融通出借、融券卖出。明确股东因认购或申购ETF减持股份的，参照适用集中竞价交易方式减持的规定。</w:t>
      </w:r>
    </w:p>
    <w:p w14:paraId="27E2C2CA" w14:textId="77777777" w:rsidR="00560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特此说明。</w:t>
      </w:r>
    </w:p>
    <w:sectPr w:rsidR="0056069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46D64" w14:textId="77777777" w:rsidR="00AD6456" w:rsidRDefault="00AD6456">
      <w:r>
        <w:separator/>
      </w:r>
    </w:p>
  </w:endnote>
  <w:endnote w:type="continuationSeparator" w:id="0">
    <w:p w14:paraId="45B3F6BD" w14:textId="77777777" w:rsidR="00AD6456" w:rsidRDefault="00AD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EBA24" w14:textId="77777777" w:rsidR="00560690" w:rsidRDefault="00000000">
    <w:pPr>
      <w:pStyle w:val="a6"/>
    </w:pPr>
    <w:r>
      <w:pict w14:anchorId="7C082BB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 filled="f" stroked="f">
          <v:textbox style="mso-fit-shape-to-text:t" inset="0,0,0,0">
            <w:txbxContent>
              <w:p w14:paraId="60810BCD" w14:textId="77777777" w:rsidR="00560690" w:rsidRDefault="00000000">
                <w:pPr>
                  <w:pStyle w:val="a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3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82869" w14:textId="77777777" w:rsidR="00AD6456" w:rsidRDefault="00AD6456">
      <w:r>
        <w:separator/>
      </w:r>
    </w:p>
  </w:footnote>
  <w:footnote w:type="continuationSeparator" w:id="0">
    <w:p w14:paraId="053C49AD" w14:textId="77777777" w:rsidR="00AD6456" w:rsidRDefault="00AD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YyNDcxMTIzYzg3MmI4OGU4M2EwNzlhMTdiMDM0MTYifQ=="/>
  </w:docVars>
  <w:rsids>
    <w:rsidRoot w:val="00757274"/>
    <w:rsid w:val="CFDDC224"/>
    <w:rsid w:val="D7A702B5"/>
    <w:rsid w:val="DFFB1BE9"/>
    <w:rsid w:val="EEEF5256"/>
    <w:rsid w:val="FDFDC353"/>
    <w:rsid w:val="FDFE8A2E"/>
    <w:rsid w:val="00041805"/>
    <w:rsid w:val="001F3806"/>
    <w:rsid w:val="00201CC0"/>
    <w:rsid w:val="00217587"/>
    <w:rsid w:val="002538A6"/>
    <w:rsid w:val="0028414F"/>
    <w:rsid w:val="002D5BAC"/>
    <w:rsid w:val="002F7326"/>
    <w:rsid w:val="003174DB"/>
    <w:rsid w:val="00333850"/>
    <w:rsid w:val="00440A82"/>
    <w:rsid w:val="00446930"/>
    <w:rsid w:val="00467812"/>
    <w:rsid w:val="00527087"/>
    <w:rsid w:val="0053320D"/>
    <w:rsid w:val="00560690"/>
    <w:rsid w:val="00576A63"/>
    <w:rsid w:val="005820F9"/>
    <w:rsid w:val="005F1FDB"/>
    <w:rsid w:val="00686DCC"/>
    <w:rsid w:val="00723B57"/>
    <w:rsid w:val="00757274"/>
    <w:rsid w:val="008553CE"/>
    <w:rsid w:val="008709C7"/>
    <w:rsid w:val="00884981"/>
    <w:rsid w:val="008C5EC3"/>
    <w:rsid w:val="008C759B"/>
    <w:rsid w:val="009901AF"/>
    <w:rsid w:val="009A4A59"/>
    <w:rsid w:val="009E4D97"/>
    <w:rsid w:val="009F3731"/>
    <w:rsid w:val="009F41F2"/>
    <w:rsid w:val="00AC5F32"/>
    <w:rsid w:val="00AD6456"/>
    <w:rsid w:val="00AF1113"/>
    <w:rsid w:val="00B007EE"/>
    <w:rsid w:val="00B513D5"/>
    <w:rsid w:val="00B51D02"/>
    <w:rsid w:val="00B85708"/>
    <w:rsid w:val="00C243B4"/>
    <w:rsid w:val="00C35313"/>
    <w:rsid w:val="00C45DDE"/>
    <w:rsid w:val="00D15A8E"/>
    <w:rsid w:val="00D53796"/>
    <w:rsid w:val="00D54E21"/>
    <w:rsid w:val="00D71459"/>
    <w:rsid w:val="00D757F9"/>
    <w:rsid w:val="00D97994"/>
    <w:rsid w:val="00DC58AA"/>
    <w:rsid w:val="00E3329C"/>
    <w:rsid w:val="00F67DEC"/>
    <w:rsid w:val="00FA172E"/>
    <w:rsid w:val="00FD7710"/>
    <w:rsid w:val="010C5CB8"/>
    <w:rsid w:val="01877965"/>
    <w:rsid w:val="03657560"/>
    <w:rsid w:val="048D6B52"/>
    <w:rsid w:val="050556B4"/>
    <w:rsid w:val="07DB66DB"/>
    <w:rsid w:val="0A9F47B4"/>
    <w:rsid w:val="0CBF5522"/>
    <w:rsid w:val="0CEF6D7A"/>
    <w:rsid w:val="0D375D39"/>
    <w:rsid w:val="16966A6F"/>
    <w:rsid w:val="17A878DC"/>
    <w:rsid w:val="1A843A5F"/>
    <w:rsid w:val="1B606093"/>
    <w:rsid w:val="1F1056A6"/>
    <w:rsid w:val="1FD74E1A"/>
    <w:rsid w:val="1FDE1AC9"/>
    <w:rsid w:val="23234924"/>
    <w:rsid w:val="243A5EEE"/>
    <w:rsid w:val="280C73AB"/>
    <w:rsid w:val="29817DFD"/>
    <w:rsid w:val="2B343848"/>
    <w:rsid w:val="2C9D6918"/>
    <w:rsid w:val="34BB06D3"/>
    <w:rsid w:val="35156CAD"/>
    <w:rsid w:val="35866C5A"/>
    <w:rsid w:val="37D36238"/>
    <w:rsid w:val="3A1204A1"/>
    <w:rsid w:val="3ACD7BAE"/>
    <w:rsid w:val="3F2B31A1"/>
    <w:rsid w:val="44C179F7"/>
    <w:rsid w:val="45EE46D9"/>
    <w:rsid w:val="465F7DF5"/>
    <w:rsid w:val="470D5B40"/>
    <w:rsid w:val="474F288B"/>
    <w:rsid w:val="47F67762"/>
    <w:rsid w:val="499365AD"/>
    <w:rsid w:val="4FAB358E"/>
    <w:rsid w:val="54C12DE2"/>
    <w:rsid w:val="553F7680"/>
    <w:rsid w:val="560234DB"/>
    <w:rsid w:val="5C612090"/>
    <w:rsid w:val="5CFD3356"/>
    <w:rsid w:val="5E2D222A"/>
    <w:rsid w:val="5E32544C"/>
    <w:rsid w:val="608144F6"/>
    <w:rsid w:val="626F5370"/>
    <w:rsid w:val="674D2B11"/>
    <w:rsid w:val="6B5BE96C"/>
    <w:rsid w:val="6E7F11B0"/>
    <w:rsid w:val="6F064B86"/>
    <w:rsid w:val="70BC298C"/>
    <w:rsid w:val="71522A5A"/>
    <w:rsid w:val="71A152B5"/>
    <w:rsid w:val="73BA03F7"/>
    <w:rsid w:val="73DA6214"/>
    <w:rsid w:val="747B7012"/>
    <w:rsid w:val="75513ECC"/>
    <w:rsid w:val="78FB470D"/>
    <w:rsid w:val="79813BDE"/>
    <w:rsid w:val="7AA14F15"/>
    <w:rsid w:val="7F264F8E"/>
    <w:rsid w:val="7F6C51D2"/>
    <w:rsid w:val="7F6F4FDF"/>
    <w:rsid w:val="7FF30E2D"/>
    <w:rsid w:val="7FFCC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0C485"/>
  <w15:docId w15:val="{68D6A437-F4B1-4D46-A76E-DC82E2B3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link w:val="a9"/>
    <w:qFormat/>
    <w:pPr>
      <w:snapToGrid w:val="0"/>
      <w:jc w:val="left"/>
    </w:pPr>
    <w:rPr>
      <w:sz w:val="18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d">
    <w:name w:val="footnote reference"/>
    <w:basedOn w:val="a0"/>
    <w:qFormat/>
    <w:rPr>
      <w:vertAlign w:val="superscript"/>
    </w:rPr>
  </w:style>
  <w:style w:type="character" w:customStyle="1" w:styleId="a9">
    <w:name w:val="脚注文本 字符"/>
    <w:basedOn w:val="a0"/>
    <w:link w:val="a8"/>
    <w:qFormat/>
    <w:rPr>
      <w:rFonts w:ascii="Calibri" w:eastAsia="宋体" w:hAnsi="Calibri" w:cs="Times New Roman"/>
      <w:sz w:val="18"/>
    </w:rPr>
  </w:style>
  <w:style w:type="character" w:customStyle="1" w:styleId="ab">
    <w:name w:val="标题 字符"/>
    <w:basedOn w:val="a0"/>
    <w:link w:val="aa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Pr>
      <w:rFonts w:ascii="Calibri" w:hAnsi="Calibr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rPr>
      <w:rFonts w:ascii="Calibri" w:hAnsi="Calibri"/>
      <w:kern w:val="2"/>
      <w:sz w:val="21"/>
      <w:szCs w:val="22"/>
    </w:rPr>
  </w:style>
  <w:style w:type="paragraph" w:styleId="ae">
    <w:name w:val="Revision"/>
    <w:hidden/>
    <w:uiPriority w:val="99"/>
    <w:unhideWhenUsed/>
    <w:rsid w:val="00D7145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307</Words>
  <Characters>1755</Characters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2024-04-12T06:53:00Z</cp:lastPrinted>
  <dcterms:created xsi:type="dcterms:W3CDTF">2024-03-31T07:19:00Z</dcterms:created>
  <dcterms:modified xsi:type="dcterms:W3CDTF">2024-04-12T06:41:00Z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75757A7F40854FF69B75E998F26BF016</vt:lpwstr>
  </property>
</Properties>
</file>