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96FA7" w14:textId="77777777" w:rsidR="00EC05FA" w:rsidRDefault="00000000">
      <w:pPr>
        <w:pStyle w:val="Style3"/>
        <w:spacing w:line="540" w:lineRule="exact"/>
        <w:ind w:firstLineChars="0" w:firstLine="0"/>
        <w:rPr>
          <w:rFonts w:ascii="仿宋_GB2312" w:eastAsia="仿宋_GB2312" w:hAnsi="黑体" w:cs="黑体"/>
          <w:bCs/>
          <w:sz w:val="30"/>
          <w:szCs w:val="30"/>
        </w:rPr>
      </w:pPr>
      <w:r>
        <w:rPr>
          <w:rFonts w:ascii="仿宋_GB2312" w:eastAsia="仿宋_GB2312" w:hAnsi="黑体" w:cs="黑体" w:hint="eastAsia"/>
          <w:bCs/>
          <w:sz w:val="30"/>
          <w:szCs w:val="30"/>
        </w:rPr>
        <w:t>附件</w:t>
      </w:r>
      <w:r>
        <w:rPr>
          <w:rFonts w:eastAsia="仿宋_GB2312" w:hint="eastAsia"/>
          <w:bCs/>
          <w:sz w:val="30"/>
          <w:szCs w:val="30"/>
        </w:rPr>
        <w:t>2</w:t>
      </w:r>
    </w:p>
    <w:p w14:paraId="42ED189C" w14:textId="77777777" w:rsidR="00EC05FA" w:rsidRDefault="00EC05FA">
      <w:pPr>
        <w:widowControl w:val="0"/>
        <w:ind w:firstLineChars="0" w:firstLine="0"/>
        <w:jc w:val="left"/>
        <w:rPr>
          <w:rFonts w:ascii="黑体" w:eastAsia="黑体" w:hAnsi="黑体"/>
          <w:b/>
          <w:sz w:val="44"/>
          <w:szCs w:val="44"/>
        </w:rPr>
      </w:pPr>
    </w:p>
    <w:p w14:paraId="1CD5E254" w14:textId="77777777" w:rsidR="00EC05FA" w:rsidRDefault="00000000">
      <w:pPr>
        <w:widowControl w:val="0"/>
        <w:ind w:firstLineChars="0" w:firstLine="0"/>
        <w:jc w:val="center"/>
        <w:rPr>
          <w:rFonts w:ascii="黑体" w:eastAsia="黑体" w:hAnsi="黑体"/>
          <w:b/>
          <w:sz w:val="44"/>
          <w:szCs w:val="44"/>
        </w:rPr>
      </w:pPr>
      <w:r>
        <w:rPr>
          <w:rFonts w:ascii="黑体" w:eastAsia="黑体" w:hAnsi="黑体" w:hint="eastAsia"/>
          <w:b/>
          <w:sz w:val="44"/>
          <w:szCs w:val="44"/>
        </w:rPr>
        <w:t>《上海证券交易所股票发行上市审核规则（征求意见稿）》起草说明</w:t>
      </w:r>
    </w:p>
    <w:p w14:paraId="54587932" w14:textId="77777777" w:rsidR="00EC05FA" w:rsidRDefault="00EC05FA">
      <w:pPr>
        <w:widowControl w:val="0"/>
        <w:ind w:firstLine="600"/>
        <w:jc w:val="center"/>
        <w:rPr>
          <w:sz w:val="30"/>
          <w:szCs w:val="30"/>
        </w:rPr>
      </w:pPr>
    </w:p>
    <w:p w14:paraId="612E5458" w14:textId="77777777" w:rsidR="00EC05FA" w:rsidRDefault="00000000">
      <w:pPr>
        <w:widowControl w:val="0"/>
        <w:ind w:firstLine="640"/>
      </w:pPr>
      <w:r>
        <w:t>为深入贯彻落实中央金融工作会议精神</w:t>
      </w:r>
      <w:r>
        <w:rPr>
          <w:rFonts w:hint="eastAsia"/>
        </w:rPr>
        <w:t>和《国务院关于加强监管防范风险推动资本市场高质量发展的若干意见》</w:t>
      </w:r>
      <w:r>
        <w:t>，</w:t>
      </w:r>
      <w:r>
        <w:rPr>
          <w:szCs w:val="36"/>
        </w:rPr>
        <w:t>规范注册制下股票发行上市审核工作，</w:t>
      </w:r>
      <w:r>
        <w:t>根据《关于严把发行上市准入关从源头上提高上市公司质量的意见（试行）》（以下简称《意见》）等有关规定，本所对《上海证券交易所股票发行上市审核规则》（以下简称《首发审核规则》）进行修订。现将有关情况说明如下。</w:t>
      </w:r>
    </w:p>
    <w:p w14:paraId="4966A45C" w14:textId="77777777" w:rsidR="00EC05FA" w:rsidRDefault="00000000">
      <w:pPr>
        <w:widowControl w:val="0"/>
        <w:ind w:firstLine="640"/>
        <w:rPr>
          <w:rFonts w:eastAsia="黑体"/>
          <w:bCs/>
        </w:rPr>
      </w:pPr>
      <w:r>
        <w:rPr>
          <w:rFonts w:eastAsia="黑体"/>
          <w:bCs/>
        </w:rPr>
        <w:t>一、修订背景</w:t>
      </w:r>
    </w:p>
    <w:p w14:paraId="01BC48F3" w14:textId="77777777" w:rsidR="00EC05FA" w:rsidRDefault="00000000">
      <w:pPr>
        <w:ind w:firstLine="640"/>
        <w:rPr>
          <w:rFonts w:ascii="仿宋" w:hAnsi="仿宋"/>
        </w:rPr>
      </w:pPr>
      <w:r>
        <w:t>2024</w:t>
      </w:r>
      <w:r>
        <w:t>年</w:t>
      </w:r>
      <w:r>
        <w:t>3</w:t>
      </w:r>
      <w:r>
        <w:t>月</w:t>
      </w:r>
      <w:r>
        <w:t>15</w:t>
      </w:r>
      <w:r>
        <w:t>日</w:t>
      </w:r>
      <w:r>
        <w:rPr>
          <w:rFonts w:hint="eastAsia"/>
        </w:rPr>
        <w:t>以来</w:t>
      </w:r>
      <w:r>
        <w:rPr>
          <w:rFonts w:ascii="仿宋" w:hAnsi="仿宋" w:hint="eastAsia"/>
        </w:rPr>
        <w:t>，中国证监会发布</w:t>
      </w:r>
      <w:r>
        <w:rPr>
          <w:rFonts w:ascii="仿宋" w:hAnsi="仿宋" w:cs="仿宋" w:hint="eastAsia"/>
          <w:szCs w:val="36"/>
        </w:rPr>
        <w:t>《意见》</w:t>
      </w:r>
      <w:r>
        <w:rPr>
          <w:rFonts w:ascii="仿宋" w:hAnsi="仿宋" w:hint="eastAsia"/>
        </w:rPr>
        <w:t>等政策文件。《意见》着眼于从源头提高上市公司质量，全面从严加强对企业发行上市活动监管，压紧压实发行监管全链条各相关方责任，并围绕严把拟上市企业申报质量、压实中介机构“看门人”责任、突出交易所审核主体责任等方面提出相关政策措施。</w:t>
      </w:r>
    </w:p>
    <w:p w14:paraId="2F47387E" w14:textId="77777777" w:rsidR="00EC05FA" w:rsidRDefault="00000000">
      <w:pPr>
        <w:ind w:firstLine="640"/>
        <w:rPr>
          <w:rFonts w:ascii="仿宋" w:hAnsi="仿宋" w:cs="仿宋"/>
          <w:szCs w:val="36"/>
        </w:rPr>
      </w:pPr>
      <w:r>
        <w:rPr>
          <w:rFonts w:ascii="仿宋" w:hAnsi="仿宋" w:cs="仿宋" w:hint="eastAsia"/>
        </w:rPr>
        <w:t>为全面贯彻落实《意见》精神，</w:t>
      </w:r>
      <w:r>
        <w:rPr>
          <w:rFonts w:ascii="仿宋" w:hAnsi="仿宋" w:cs="仿宋" w:hint="eastAsia"/>
          <w:szCs w:val="36"/>
        </w:rPr>
        <w:t>将相关要求体现为规则，强化从严把关要求。</w:t>
      </w:r>
      <w:r>
        <w:rPr>
          <w:rFonts w:ascii="仿宋" w:hAnsi="仿宋" w:hint="eastAsia"/>
        </w:rPr>
        <w:t>本次《首发审核规则》修订坚持目标导向、问题导向，</w:t>
      </w:r>
      <w:r>
        <w:rPr>
          <w:rFonts w:ascii="仿宋" w:hAnsi="仿宋" w:cs="仿宋" w:hint="eastAsia"/>
          <w:szCs w:val="36"/>
        </w:rPr>
        <w:t>聚焦审核实践中各方高度关注的板块定位、财务真实性、内控规范性、信息披露质量等核心问题，对审核把关机制相关规定进行了针对性地调整优化。</w:t>
      </w:r>
    </w:p>
    <w:p w14:paraId="5A4F05AD" w14:textId="77777777" w:rsidR="00EC05FA" w:rsidRDefault="00000000">
      <w:pPr>
        <w:widowControl w:val="0"/>
        <w:ind w:firstLine="640"/>
        <w:rPr>
          <w:rFonts w:eastAsia="黑体"/>
          <w:bCs/>
        </w:rPr>
      </w:pPr>
      <w:r>
        <w:rPr>
          <w:rFonts w:eastAsia="黑体"/>
          <w:bCs/>
        </w:rPr>
        <w:lastRenderedPageBreak/>
        <w:t>二、主要修改内容</w:t>
      </w:r>
    </w:p>
    <w:p w14:paraId="2499AEC4" w14:textId="77777777" w:rsidR="00EC05FA" w:rsidRDefault="00000000">
      <w:pPr>
        <w:ind w:firstLine="643"/>
      </w:pPr>
      <w:r>
        <w:rPr>
          <w:rFonts w:hint="eastAsia"/>
          <w:b/>
          <w:bCs/>
        </w:rPr>
        <w:t>一</w:t>
      </w:r>
      <w:r>
        <w:rPr>
          <w:b/>
          <w:bCs/>
        </w:rPr>
        <w:t>是</w:t>
      </w:r>
      <w:r>
        <w:rPr>
          <w:rFonts w:hint="eastAsia"/>
          <w:b/>
          <w:bCs/>
        </w:rPr>
        <w:t>明确板块</w:t>
      </w:r>
      <w:r>
        <w:rPr>
          <w:b/>
          <w:bCs/>
        </w:rPr>
        <w:t>定位</w:t>
      </w:r>
      <w:r>
        <w:rPr>
          <w:rFonts w:hint="eastAsia"/>
          <w:b/>
          <w:bCs/>
        </w:rPr>
        <w:t>把握要求</w:t>
      </w:r>
      <w:r>
        <w:rPr>
          <w:b/>
          <w:bCs/>
        </w:rPr>
        <w:t>。</w:t>
      </w:r>
      <w:r>
        <w:rPr>
          <w:rFonts w:hint="eastAsia"/>
        </w:rPr>
        <w:t>从</w:t>
      </w:r>
      <w:r>
        <w:t>行业地位、经营规模、核心技术工艺、行业趋势、经营稳定和转型升级等方面</w:t>
      </w:r>
      <w:r>
        <w:rPr>
          <w:rFonts w:hint="eastAsia"/>
        </w:rPr>
        <w:t>，进一步明确发行人、保荐人对主板定位进行评估、判断的具体要求。</w:t>
      </w:r>
      <w:r>
        <w:t>明确科创板的主要服务方向，与上位规则保持一致。</w:t>
      </w:r>
    </w:p>
    <w:p w14:paraId="36D264C7" w14:textId="77777777" w:rsidR="00EC05FA" w:rsidRDefault="00000000">
      <w:pPr>
        <w:ind w:firstLine="643"/>
        <w:rPr>
          <w:szCs w:val="36"/>
        </w:rPr>
      </w:pPr>
      <w:r>
        <w:rPr>
          <w:rFonts w:hint="eastAsia"/>
          <w:b/>
          <w:szCs w:val="36"/>
        </w:rPr>
        <w:t>二</w:t>
      </w:r>
      <w:r>
        <w:rPr>
          <w:b/>
          <w:szCs w:val="36"/>
        </w:rPr>
        <w:t>是压实发行人及</w:t>
      </w:r>
      <w:r>
        <w:rPr>
          <w:rFonts w:hint="eastAsia"/>
          <w:b/>
          <w:szCs w:val="36"/>
        </w:rPr>
        <w:t>“</w:t>
      </w:r>
      <w:r>
        <w:rPr>
          <w:b/>
          <w:szCs w:val="36"/>
        </w:rPr>
        <w:t>关键少数</w:t>
      </w:r>
      <w:r>
        <w:rPr>
          <w:rFonts w:hint="eastAsia"/>
          <w:b/>
          <w:szCs w:val="36"/>
        </w:rPr>
        <w:t>”</w:t>
      </w:r>
      <w:r>
        <w:rPr>
          <w:b/>
          <w:szCs w:val="36"/>
        </w:rPr>
        <w:t>责任。</w:t>
      </w:r>
      <w:r>
        <w:rPr>
          <w:szCs w:val="36"/>
        </w:rPr>
        <w:t>明确发行人应保证相关信息披露准确真实反映企业经营能力；发行人的控股股东、实际控制人、董事、监事、高级管理人员等</w:t>
      </w:r>
      <w:r>
        <w:rPr>
          <w:rFonts w:hint="eastAsia"/>
          <w:bCs/>
          <w:szCs w:val="36"/>
        </w:rPr>
        <w:t>“</w:t>
      </w:r>
      <w:r>
        <w:rPr>
          <w:bCs/>
          <w:szCs w:val="36"/>
        </w:rPr>
        <w:t>关键少数</w:t>
      </w:r>
      <w:r>
        <w:rPr>
          <w:rFonts w:hint="eastAsia"/>
          <w:bCs/>
          <w:szCs w:val="36"/>
        </w:rPr>
        <w:t>”</w:t>
      </w:r>
      <w:r>
        <w:rPr>
          <w:szCs w:val="36"/>
        </w:rPr>
        <w:t>应当增强诚信自律法治意识，完善公司治理和健全内部控制制度，按规定接受内部控制审计。</w:t>
      </w:r>
    </w:p>
    <w:p w14:paraId="4070FC63" w14:textId="77777777" w:rsidR="00EC05FA" w:rsidRDefault="00000000">
      <w:pPr>
        <w:ind w:firstLine="643"/>
        <w:rPr>
          <w:b/>
          <w:bCs/>
          <w:szCs w:val="36"/>
        </w:rPr>
      </w:pPr>
      <w:r>
        <w:rPr>
          <w:b/>
          <w:bCs/>
          <w:szCs w:val="36"/>
        </w:rPr>
        <w:t>三是压实中介机构责任。</w:t>
      </w:r>
      <w:r>
        <w:rPr>
          <w:szCs w:val="36"/>
          <w:lang w:bidi="ar"/>
        </w:rPr>
        <w:t>把防范财务造假、欺诈发行摆在发行审核更加突出的位置，明确保荐人应当从投资者利益出发，健全内部决策和责任机制，强化中介机构对资金流水、客户、供应商等方面的核查义务；明确审核重点关注</w:t>
      </w:r>
      <w:r>
        <w:rPr>
          <w:rFonts w:hint="eastAsia"/>
          <w:szCs w:val="36"/>
          <w:lang w:bidi="ar"/>
        </w:rPr>
        <w:t>中介机构</w:t>
      </w:r>
      <w:r>
        <w:rPr>
          <w:szCs w:val="36"/>
          <w:lang w:bidi="ar"/>
        </w:rPr>
        <w:t>对资金流水、客户供应商穿透等方面的核查依据是否充分、现场核验方式是否合理合规。</w:t>
      </w:r>
    </w:p>
    <w:p w14:paraId="498F307D" w14:textId="52056B11" w:rsidR="00EC05FA" w:rsidRDefault="00000000">
      <w:pPr>
        <w:ind w:firstLine="643"/>
        <w:rPr>
          <w:szCs w:val="36"/>
        </w:rPr>
      </w:pPr>
      <w:r>
        <w:rPr>
          <w:b/>
          <w:bCs/>
          <w:szCs w:val="36"/>
        </w:rPr>
        <w:t>四是</w:t>
      </w:r>
      <w:r>
        <w:rPr>
          <w:b/>
          <w:bCs/>
        </w:rPr>
        <w:t>拓展现场督导适用范围。</w:t>
      </w:r>
      <w:r>
        <w:rPr>
          <w:szCs w:val="36"/>
        </w:rPr>
        <w:t>明确本所可通过抽取一定比例的方式对相关中介机构的执业质量进行现场督导；明确发生重大会后事项的情况下，</w:t>
      </w:r>
      <w:r w:rsidR="00D96582">
        <w:rPr>
          <w:rFonts w:hint="eastAsia"/>
          <w:szCs w:val="36"/>
        </w:rPr>
        <w:t>本所</w:t>
      </w:r>
      <w:r>
        <w:rPr>
          <w:szCs w:val="36"/>
        </w:rPr>
        <w:t>可以根据需要进行现场督导。</w:t>
      </w:r>
    </w:p>
    <w:p w14:paraId="1544130A" w14:textId="77777777" w:rsidR="00EC05FA" w:rsidRDefault="00000000">
      <w:pPr>
        <w:ind w:firstLine="643"/>
        <w:rPr>
          <w:szCs w:val="36"/>
        </w:rPr>
      </w:pPr>
      <w:r>
        <w:rPr>
          <w:b/>
          <w:bCs/>
          <w:szCs w:val="36"/>
        </w:rPr>
        <w:t>五是完善终止审核情形。</w:t>
      </w:r>
      <w:r>
        <w:rPr>
          <w:szCs w:val="36"/>
        </w:rPr>
        <w:t>明确信息披露质量存在明显瑕疵，严重影响投资者理解或者本所审核，以及</w:t>
      </w:r>
      <w:r>
        <w:rPr>
          <w:rFonts w:hint="eastAsia"/>
          <w:szCs w:val="36"/>
        </w:rPr>
        <w:t>发行人不符合国家产业政策或板块定位的</w:t>
      </w:r>
      <w:r>
        <w:rPr>
          <w:szCs w:val="36"/>
        </w:rPr>
        <w:t>，本所依规予以终止审核。</w:t>
      </w:r>
    </w:p>
    <w:p w14:paraId="6F9B2220" w14:textId="2DDE40EB" w:rsidR="00EC05FA" w:rsidRDefault="00000000">
      <w:pPr>
        <w:ind w:firstLine="643"/>
      </w:pPr>
      <w:r>
        <w:rPr>
          <w:b/>
          <w:bCs/>
          <w:szCs w:val="36"/>
        </w:rPr>
        <w:lastRenderedPageBreak/>
        <w:t>六是强化</w:t>
      </w:r>
      <w:r>
        <w:rPr>
          <w:rFonts w:hint="eastAsia"/>
          <w:b/>
          <w:bCs/>
          <w:szCs w:val="36"/>
        </w:rPr>
        <w:t>自律监管手段</w:t>
      </w:r>
      <w:r>
        <w:rPr>
          <w:b/>
          <w:bCs/>
          <w:szCs w:val="36"/>
        </w:rPr>
        <w:t>。</w:t>
      </w:r>
      <w:r>
        <w:t>增加规定中介机构组织、指使、配合</w:t>
      </w:r>
      <w:r w:rsidR="00D96582">
        <w:rPr>
          <w:rFonts w:hint="eastAsia"/>
        </w:rPr>
        <w:t>财务造假</w:t>
      </w:r>
      <w:r>
        <w:t>等恶劣违规情形的处分依据；将存在累计两次不予受理情形的保荐人申报间隔期由</w:t>
      </w:r>
      <w:r>
        <w:t>3</w:t>
      </w:r>
      <w:r>
        <w:t>个月延长至</w:t>
      </w:r>
      <w:r>
        <w:t>6</w:t>
      </w:r>
      <w:r>
        <w:t>个月，新增现场检查、督导情形下主动撤回情形的申报间隔期为</w:t>
      </w:r>
      <w:r>
        <w:t>6</w:t>
      </w:r>
      <w:r>
        <w:t>个月。</w:t>
      </w:r>
    </w:p>
    <w:p w14:paraId="2D790802" w14:textId="77777777" w:rsidR="00EC05FA" w:rsidRDefault="00000000">
      <w:pPr>
        <w:ind w:firstLine="640"/>
      </w:pPr>
      <w:r>
        <w:t>特此说明。</w:t>
      </w:r>
    </w:p>
    <w:sectPr w:rsidR="00EC05F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6A7E6" w14:textId="77777777" w:rsidR="00927021" w:rsidRDefault="00927021">
      <w:pPr>
        <w:spacing w:line="240" w:lineRule="auto"/>
        <w:ind w:firstLine="640"/>
      </w:pPr>
      <w:r>
        <w:separator/>
      </w:r>
    </w:p>
  </w:endnote>
  <w:endnote w:type="continuationSeparator" w:id="0">
    <w:p w14:paraId="79F7A4A1" w14:textId="77777777" w:rsidR="00927021" w:rsidRDefault="0092702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4D559" w14:textId="77777777" w:rsidR="00EC05FA" w:rsidRDefault="00EC05FA">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742997244"/>
    </w:sdtPr>
    <w:sdtContent>
      <w:p w14:paraId="3ABA0B38" w14:textId="77777777" w:rsidR="00EC05FA" w:rsidRDefault="00000000">
        <w:pPr>
          <w:pStyle w:val="a7"/>
          <w:ind w:firstLine="480"/>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2</w:t>
        </w:r>
        <w:r>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46CD2" w14:textId="77777777" w:rsidR="00EC05FA" w:rsidRDefault="00EC05FA">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840EE" w14:textId="77777777" w:rsidR="00927021" w:rsidRDefault="00927021">
      <w:pPr>
        <w:spacing w:line="240" w:lineRule="auto"/>
        <w:ind w:firstLine="640"/>
      </w:pPr>
      <w:r>
        <w:separator/>
      </w:r>
    </w:p>
  </w:footnote>
  <w:footnote w:type="continuationSeparator" w:id="0">
    <w:p w14:paraId="6425B82E" w14:textId="77777777" w:rsidR="00927021" w:rsidRDefault="0092702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376E6" w14:textId="77777777" w:rsidR="00EC05FA" w:rsidRDefault="00EC05FA">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D9758" w14:textId="77777777" w:rsidR="00EC05FA" w:rsidRDefault="00EC05FA">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88117" w14:textId="77777777" w:rsidR="00EC05FA" w:rsidRDefault="00EC05FA">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332"/>
    <w:rsid w:val="FF47A077"/>
    <w:rsid w:val="FFC81173"/>
    <w:rsid w:val="00061786"/>
    <w:rsid w:val="000F084A"/>
    <w:rsid w:val="00100C89"/>
    <w:rsid w:val="001A562D"/>
    <w:rsid w:val="001C1B55"/>
    <w:rsid w:val="001E6DFB"/>
    <w:rsid w:val="002017D5"/>
    <w:rsid w:val="00243511"/>
    <w:rsid w:val="00265E98"/>
    <w:rsid w:val="00270A9E"/>
    <w:rsid w:val="002726CA"/>
    <w:rsid w:val="00276DD1"/>
    <w:rsid w:val="0028465D"/>
    <w:rsid w:val="002C4596"/>
    <w:rsid w:val="0033124B"/>
    <w:rsid w:val="003420B1"/>
    <w:rsid w:val="00347A81"/>
    <w:rsid w:val="00412332"/>
    <w:rsid w:val="004543A7"/>
    <w:rsid w:val="004A73FA"/>
    <w:rsid w:val="004B3C06"/>
    <w:rsid w:val="004D4335"/>
    <w:rsid w:val="004F7AE2"/>
    <w:rsid w:val="005402B6"/>
    <w:rsid w:val="00654CFE"/>
    <w:rsid w:val="006A6C2E"/>
    <w:rsid w:val="006C3218"/>
    <w:rsid w:val="006F4F04"/>
    <w:rsid w:val="00773D58"/>
    <w:rsid w:val="007955F1"/>
    <w:rsid w:val="00797ADD"/>
    <w:rsid w:val="0084190E"/>
    <w:rsid w:val="0084630D"/>
    <w:rsid w:val="0087351D"/>
    <w:rsid w:val="008B513D"/>
    <w:rsid w:val="00907DE2"/>
    <w:rsid w:val="00927021"/>
    <w:rsid w:val="00943D44"/>
    <w:rsid w:val="0096577D"/>
    <w:rsid w:val="0096738C"/>
    <w:rsid w:val="009B353F"/>
    <w:rsid w:val="009D6D56"/>
    <w:rsid w:val="00A0167D"/>
    <w:rsid w:val="00A23D31"/>
    <w:rsid w:val="00A23F81"/>
    <w:rsid w:val="00A4387C"/>
    <w:rsid w:val="00A455FF"/>
    <w:rsid w:val="00A86D4C"/>
    <w:rsid w:val="00AA3471"/>
    <w:rsid w:val="00AF1A05"/>
    <w:rsid w:val="00B35E98"/>
    <w:rsid w:val="00B529C8"/>
    <w:rsid w:val="00BA0952"/>
    <w:rsid w:val="00C33F0F"/>
    <w:rsid w:val="00C45C70"/>
    <w:rsid w:val="00C463D4"/>
    <w:rsid w:val="00C95BEF"/>
    <w:rsid w:val="00D038CE"/>
    <w:rsid w:val="00D31840"/>
    <w:rsid w:val="00D61AD8"/>
    <w:rsid w:val="00D862A2"/>
    <w:rsid w:val="00D96582"/>
    <w:rsid w:val="00E07D61"/>
    <w:rsid w:val="00E62793"/>
    <w:rsid w:val="00E730C1"/>
    <w:rsid w:val="00E7675D"/>
    <w:rsid w:val="00E91C18"/>
    <w:rsid w:val="00EB5F9E"/>
    <w:rsid w:val="00EC05FA"/>
    <w:rsid w:val="00EF2812"/>
    <w:rsid w:val="00F57882"/>
    <w:rsid w:val="00F662F3"/>
    <w:rsid w:val="00F84521"/>
    <w:rsid w:val="00F9377B"/>
    <w:rsid w:val="00FF34B5"/>
    <w:rsid w:val="03670C12"/>
    <w:rsid w:val="089159A7"/>
    <w:rsid w:val="0B747E53"/>
    <w:rsid w:val="0EBA29CD"/>
    <w:rsid w:val="17FE1B11"/>
    <w:rsid w:val="1D041987"/>
    <w:rsid w:val="222538F4"/>
    <w:rsid w:val="22BC378D"/>
    <w:rsid w:val="2F1C6E2B"/>
    <w:rsid w:val="48EF12FC"/>
    <w:rsid w:val="492B14F3"/>
    <w:rsid w:val="4943051E"/>
    <w:rsid w:val="532ED125"/>
    <w:rsid w:val="537D691B"/>
    <w:rsid w:val="69E03904"/>
    <w:rsid w:val="77FF1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C43D"/>
  <w15:docId w15:val="{8FCD1D80-E7DC-4088-B6AF-D841DF86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line="560" w:lineRule="exact"/>
      <w:ind w:firstLineChars="200" w:firstLine="200"/>
      <w:jc w:val="both"/>
    </w:pPr>
    <w:rPr>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spacing w:before="88"/>
      <w:ind w:left="120"/>
      <w:jc w:val="left"/>
    </w:pPr>
    <w:rPr>
      <w:rFonts w:ascii="仿宋_GB2312" w:hAnsi="仿宋_GB2312"/>
      <w:kern w:val="0"/>
      <w:lang w:eastAsia="en-US"/>
    </w:rPr>
  </w:style>
  <w:style w:type="paragraph" w:styleId="a4">
    <w:name w:val="annotation text"/>
    <w:basedOn w:val="a"/>
    <w:uiPriority w:val="99"/>
    <w:semiHidden/>
    <w:unhideWhenUsed/>
    <w:qFormat/>
    <w:pPr>
      <w:jc w:val="left"/>
    </w:p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qFormat/>
    <w:pPr>
      <w:tabs>
        <w:tab w:val="center" w:pos="4153"/>
        <w:tab w:val="right" w:pos="8306"/>
      </w:tabs>
      <w:snapToGrid w:val="0"/>
      <w:spacing w:line="240" w:lineRule="atLeast"/>
      <w:jc w:val="center"/>
    </w:pPr>
    <w:rPr>
      <w:sz w:val="18"/>
      <w:szCs w:val="18"/>
    </w:rPr>
  </w:style>
  <w:style w:type="character" w:customStyle="1" w:styleId="aa">
    <w:name w:val="页眉 字符"/>
    <w:basedOn w:val="a1"/>
    <w:link w:val="a9"/>
    <w:uiPriority w:val="99"/>
    <w:qFormat/>
    <w:rPr>
      <w:sz w:val="18"/>
      <w:szCs w:val="18"/>
    </w:rPr>
  </w:style>
  <w:style w:type="character" w:customStyle="1" w:styleId="a8">
    <w:name w:val="页脚 字符"/>
    <w:basedOn w:val="a1"/>
    <w:link w:val="a7"/>
    <w:uiPriority w:val="99"/>
    <w:qFormat/>
    <w:rPr>
      <w:sz w:val="18"/>
      <w:szCs w:val="18"/>
    </w:rPr>
  </w:style>
  <w:style w:type="paragraph" w:customStyle="1" w:styleId="1">
    <w:name w:val="修订1"/>
    <w:hidden/>
    <w:uiPriority w:val="99"/>
    <w:semiHidden/>
    <w:qFormat/>
    <w:rPr>
      <w:kern w:val="2"/>
      <w:sz w:val="32"/>
      <w:szCs w:val="32"/>
    </w:rPr>
  </w:style>
  <w:style w:type="character" w:customStyle="1" w:styleId="a6">
    <w:name w:val="批注框文本 字符"/>
    <w:basedOn w:val="a1"/>
    <w:link w:val="a5"/>
    <w:uiPriority w:val="99"/>
    <w:semiHidden/>
    <w:qFormat/>
    <w:rPr>
      <w:sz w:val="18"/>
      <w:szCs w:val="18"/>
    </w:rPr>
  </w:style>
  <w:style w:type="paragraph" w:styleId="ab">
    <w:name w:val="List Paragraph"/>
    <w:basedOn w:val="a"/>
    <w:uiPriority w:val="34"/>
    <w:qFormat/>
    <w:pPr>
      <w:ind w:firstLine="420"/>
    </w:pPr>
  </w:style>
  <w:style w:type="paragraph" w:customStyle="1" w:styleId="2">
    <w:name w:val="修订2"/>
    <w:hidden/>
    <w:uiPriority w:val="99"/>
    <w:unhideWhenUsed/>
    <w:qFormat/>
    <w:rPr>
      <w:kern w:val="2"/>
      <w:sz w:val="32"/>
      <w:szCs w:val="32"/>
    </w:rPr>
  </w:style>
  <w:style w:type="paragraph" w:customStyle="1" w:styleId="Style3">
    <w:name w:val="_Style 3"/>
    <w:basedOn w:val="a"/>
    <w:qFormat/>
    <w:pPr>
      <w:widowControl w:val="0"/>
      <w:spacing w:line="240" w:lineRule="auto"/>
      <w:ind w:firstLine="420"/>
    </w:pPr>
    <w:rPr>
      <w:rFonts w:eastAsia="宋体"/>
      <w:sz w:val="21"/>
      <w:szCs w:val="22"/>
    </w:rPr>
  </w:style>
  <w:style w:type="paragraph" w:styleId="ac">
    <w:name w:val="Revision"/>
    <w:hidden/>
    <w:uiPriority w:val="99"/>
    <w:unhideWhenUsed/>
    <w:rsid w:val="00D96582"/>
    <w:rPr>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167</Words>
  <Characters>953</Characters>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2024-03-26T21:02:00Z</dcterms:created>
  <dcterms:modified xsi:type="dcterms:W3CDTF">2024-04-12T02:50:00Z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4A53168745404088BA363D76D984B57F</vt:lpwstr>
  </property>
</Properties>
</file>